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4514 Cole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1600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75205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PX</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 Purchase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1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On April 22, 2024, the Board of Directors (the “Board”) of P10, Inc. (the “Company”), based on the recommendation of the Nominating and Corporate Governance Committee, increased the size of the Board from eight to nine directors and appointed Tracey Benford to fill the new vacancy as a Class II director, with a term expiring at the Company’s 2026 annual meeting of stockholders. The Board has appointed Ms. Benford to the Audit Committee, Compensation Committee and Nominating and Corporate Governance Committee.</w:t>
      </w:r>
    </w:p>
    <w:p>
      <w:pPr>
        <w:spacing w:after="0" w:line="180"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Ms. Benford, age 55, is a retired partner and advisory director of Goldman Sachs &amp; Co., where she was a partner since 2010 and spent over 25 years of her career. Ms. Benford has held senior leadership positions at Goldman Sachs including as head of the Global Markets Division in the Midwest, Canada and the Southern Region, and served on the Global Executive Committee for Global Markets and the Partnership committee. She currently serves on the boards of several non-profit organizations including United States Olympic and Paralympic Foudnation (USOPF), the Lincoln Park Zoo, Team Impact, Positive Coaching Alliance and Uniting Voices of Chicago and sits on the advisory council of the Stanford Graduate School of Business. Ms. Benford holds an MBA from the Stanford University Graduate School of Business and a BA, with honors, in Mathematical Methods and Economics from Northwestern University.</w:t>
      </w:r>
    </w:p>
    <w:p>
      <w:pPr>
        <w:spacing w:after="0" w:line="18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Board has affirmatively determined that Ms. Benford qualifies as an independent director under the rules of the New York Stock Exchange, the Securities and Exchange Commission and the Company’s Corporate Governance Guidelines.</w:t>
      </w:r>
    </w:p>
    <w:p>
      <w:pPr>
        <w:spacing w:after="0" w:line="162"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There have been no transactions, and no transactions are currently proposed, in which the Company was or is to be a participant and in which Ms. Benford or any member of her immediate family had or will have any interest, that are required to be disclosed by Item 404(a) of Regulation S-K. In addition, there are no arrangements or understandings between Ms. Benford and any other persons pursuant to which Ms. Benford was selected as a director.</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Ms. Benford will be compensated in accordance with the Company’s standard compensation policies and practices for non-employee directors, and the Company will enter into its standard form of indemnification agreement with Ms. Benford.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On April 22, 2024, the Company issued a press release regarding the appointment of Ms. Benford to the Board of Directors of the Company, which is furnished herewith as Exhibit 99.1.</w:t>
      </w:r>
    </w:p>
    <w:p>
      <w:pPr>
        <w:spacing w:after="0" w:line="16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included under this Item 7.01 of this Current Report on Form 8-K, including Exhibit 99.1, is being furnished and shall not be deemed “filed” for purposes of Section 18 of the Securities Exchange Act of 1934 (the “Exchange Act”), nor shall such information be deemed to be incorporated by reference in any filing under the Securities Act of 1933 or the Exchange Act, except as may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Exhibit no.</w:t>
            </w:r>
          </w:p>
        </w:tc>
        <w:tc>
          <w:tcPr>
            <w:tcW w:w="2380" w:type="dxa"/>
            <w:vAlign w:val="bottom"/>
          </w:tcPr>
          <w:p>
            <w:pPr>
              <w:spacing w:after="0"/>
              <w:rPr>
                <w:sz w:val="18"/>
                <w:szCs w:val="18"/>
                <w:color w:val="auto"/>
              </w:rPr>
            </w:pPr>
          </w:p>
        </w:tc>
        <w:tc>
          <w:tcPr>
            <w:tcW w:w="7980" w:type="dxa"/>
            <w:vAlign w:val="bottom"/>
            <w:gridSpan w:val="4"/>
          </w:tcPr>
          <w:p>
            <w:pPr>
              <w:ind w:left="2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10"/>
        </w:trPr>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980" w:type="dxa"/>
            <w:vAlign w:val="bottom"/>
            <w:gridSpan w:val="4"/>
          </w:tcPr>
          <w:p>
            <w:pPr>
              <w:ind w:left="2380"/>
              <w:spacing w:after="0"/>
              <w:rPr>
                <w:sz w:val="20"/>
                <w:szCs w:val="20"/>
                <w:color w:val="auto"/>
              </w:rPr>
            </w:pPr>
            <w:r>
              <w:rPr>
                <w:rFonts w:ascii="Times New Roman" w:cs="Times New Roman" w:eastAsia="Times New Roman" w:hAnsi="Times New Roman"/>
                <w:sz w:val="18"/>
                <w:szCs w:val="18"/>
                <w:color w:val="0000FF"/>
              </w:rPr>
              <w:t>Press release, dated April 22, 2024</w:t>
            </w:r>
          </w:p>
        </w:tc>
      </w:tr>
      <w:tr>
        <w:trPr>
          <w:trHeight w:val="20"/>
        </w:trPr>
        <w:tc>
          <w:tcPr>
            <w:tcW w:w="340" w:type="dxa"/>
            <w:vAlign w:val="bottom"/>
            <w:tcBorders>
              <w:lef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2"/>
        </w:trPr>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980" w:type="dxa"/>
            <w:vAlign w:val="bottom"/>
            <w:gridSpan w:val="4"/>
          </w:tcPr>
          <w:p>
            <w:pPr>
              <w:ind w:left="2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r>
      <w:tr>
        <w:trPr>
          <w:trHeight w:val="234"/>
        </w:trPr>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980" w:type="dxa"/>
            <w:vAlign w:val="bottom"/>
            <w:gridSpan w:val="4"/>
          </w:tcPr>
          <w:p>
            <w:pPr>
              <w:ind w:left="2380"/>
              <w:spacing w:after="0"/>
              <w:rPr>
                <w:sz w:val="20"/>
                <w:szCs w:val="20"/>
                <w:color w:val="auto"/>
              </w:rPr>
            </w:pPr>
            <w:r>
              <w:rPr>
                <w:rFonts w:ascii="Times New Roman" w:cs="Times New Roman" w:eastAsia="Times New Roman" w:hAnsi="Times New Roman"/>
                <w:sz w:val="18"/>
                <w:szCs w:val="18"/>
                <w:color w:val="auto"/>
              </w:rPr>
              <w:t>document)</w:t>
            </w:r>
          </w:p>
        </w:tc>
      </w:tr>
      <w:tr>
        <w:trPr>
          <w:trHeight w:val="992"/>
        </w:trPr>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P10,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7860" w:val="left"/>
        </w:tabs>
        <w:rPr>
          <w:sz w:val="20"/>
          <w:szCs w:val="20"/>
          <w:color w:val="auto"/>
        </w:rPr>
      </w:pPr>
      <w:r>
        <w:rPr>
          <w:rFonts w:ascii="Times New Roman" w:cs="Times New Roman" w:eastAsia="Times New Roman" w:hAnsi="Times New Roman"/>
          <w:sz w:val="18"/>
          <w:szCs w:val="18"/>
          <w:color w:val="auto"/>
        </w:rPr>
        <w:t>Date:</w:t>
        <w:tab/>
        <w:t>April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303530</wp:posOffset>
            </wp:positionV>
            <wp:extent cx="114871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40385"/>
                    </a:xfrm>
                    <a:prstGeom prst="rect">
                      <a:avLst/>
                    </a:prstGeom>
                    <a:noFill/>
                  </pic:spPr>
                </pic:pic>
              </a:graphicData>
            </a:graphic>
          </wp:anchor>
        </w:drawing>
        <w:drawing>
          <wp:anchor simplePos="0" relativeHeight="251657728" behindDoc="1" locked="0" layoutInCell="0" allowOverlap="1">
            <wp:simplePos x="0" y="0"/>
            <wp:positionH relativeFrom="page">
              <wp:posOffset>5934710</wp:posOffset>
            </wp:positionH>
            <wp:positionV relativeFrom="page">
              <wp:posOffset>303530</wp:posOffset>
            </wp:positionV>
            <wp:extent cx="1371600"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175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b w:val="1"/>
          <w:bCs w:val="1"/>
          <w:color w:val="2F2F45"/>
        </w:rPr>
        <w:t>P10 Announces Appointment of Tracey Benford to Board of Directors</w:t>
      </w:r>
    </w:p>
    <w:p>
      <w:pPr>
        <w:spacing w:after="0" w:line="282" w:lineRule="exact"/>
        <w:rPr>
          <w:sz w:val="20"/>
          <w:szCs w:val="20"/>
          <w:color w:val="auto"/>
        </w:rPr>
      </w:pPr>
    </w:p>
    <w:p>
      <w:pPr>
        <w:spacing w:after="0" w:line="238" w:lineRule="auto"/>
        <w:rPr>
          <w:sz w:val="20"/>
          <w:szCs w:val="20"/>
          <w:color w:val="auto"/>
        </w:rPr>
      </w:pPr>
      <w:r>
        <w:rPr>
          <w:rFonts w:ascii="Calibri" w:cs="Calibri" w:eastAsia="Calibri" w:hAnsi="Calibri"/>
          <w:sz w:val="22"/>
          <w:szCs w:val="22"/>
          <w:color w:val="2F2F45"/>
        </w:rPr>
        <w:t xml:space="preserve">DALLAS, April 22, 2024 (GLOBE NEWSWIRE) - </w:t>
      </w:r>
      <w:r>
        <w:rPr>
          <w:rFonts w:ascii="Calibri" w:cs="Calibri" w:eastAsia="Calibri" w:hAnsi="Calibri"/>
          <w:sz w:val="22"/>
          <w:szCs w:val="22"/>
          <w:color w:val="000000"/>
        </w:rPr>
        <w:t>P10, Inc.</w:t>
      </w:r>
      <w:r>
        <w:rPr>
          <w:rFonts w:ascii="Calibri" w:cs="Calibri" w:eastAsia="Calibri" w:hAnsi="Calibri"/>
          <w:sz w:val="22"/>
          <w:szCs w:val="22"/>
          <w:color w:val="2F2F45"/>
        </w:rPr>
        <w:t xml:space="preserve"> (NYSE: PX), a leading private markets solutons provider, today announced the appointment of Tracey Benford to its Board of Directors as an independent Class II director, efectve April 22, 2024. Ms. Benford will serve on the Company’s Audit Commitee, Compensaton Commitee, and Nominatng and Corporate Governance Commitee.</w:t>
      </w:r>
    </w:p>
    <w:p>
      <w:pPr>
        <w:spacing w:after="0" w:line="285" w:lineRule="exact"/>
        <w:rPr>
          <w:sz w:val="20"/>
          <w:szCs w:val="20"/>
          <w:color w:val="auto"/>
        </w:rPr>
      </w:pPr>
    </w:p>
    <w:p>
      <w:pPr>
        <w:ind w:right="160"/>
        <w:spacing w:after="0" w:line="238" w:lineRule="auto"/>
        <w:rPr>
          <w:sz w:val="20"/>
          <w:szCs w:val="20"/>
          <w:color w:val="auto"/>
        </w:rPr>
      </w:pPr>
      <w:r>
        <w:rPr>
          <w:rFonts w:ascii="Calibri" w:cs="Calibri" w:eastAsia="Calibri" w:hAnsi="Calibri"/>
          <w:sz w:val="22"/>
          <w:szCs w:val="22"/>
          <w:color w:val="2F2F45"/>
        </w:rPr>
        <w:t>“On behalf of the entre board, we are thrilled to welcome fnancial services industry veteran Tracey Benford to the P10 team,” said Luke Sarsfeld, P10 Chief Executve Ofcer. “Tracey’s leadership within the alternatve asset management profession and deep sector expertse, as well as her extensive career at Goldman Sachs and intrinsic role in negotatng complex global transactons, will greatly beneft P10 as we embark on this next chapter of organic and inorganic growth.”</w:t>
      </w:r>
    </w:p>
    <w:p>
      <w:pPr>
        <w:spacing w:after="0" w:line="285" w:lineRule="exact"/>
        <w:rPr>
          <w:sz w:val="20"/>
          <w:szCs w:val="20"/>
          <w:color w:val="auto"/>
        </w:rPr>
      </w:pPr>
    </w:p>
    <w:p>
      <w:pPr>
        <w:ind w:right="120"/>
        <w:spacing w:after="0" w:line="239" w:lineRule="auto"/>
        <w:rPr>
          <w:sz w:val="20"/>
          <w:szCs w:val="20"/>
          <w:color w:val="auto"/>
        </w:rPr>
      </w:pPr>
      <w:r>
        <w:rPr>
          <w:rFonts w:ascii="Calibri" w:cs="Calibri" w:eastAsia="Calibri" w:hAnsi="Calibri"/>
          <w:sz w:val="22"/>
          <w:szCs w:val="22"/>
          <w:color w:val="2F2F45"/>
        </w:rPr>
        <w:t>Ms. Benford is a successful organizatonal leader and seasoned executve with nearly 30 years of fnancial services experience. As a former Partner from Goldman Sachs, Ms. Benford oversaw the Global Markets Division for the Midwest, Southwest and Canada, while managing some of the frm’s largest alternatve asset managers, pension funds and insurance companies. During her tenure at Goldman Sachs, she also served as a member of the Global Executve Commitee for Global Markets and the Partnership Commitee. Notably, Ms. Benford was selected to help launch One Goldman Sachs’ (OneGS) program focused on creatng cross-divisional strategies to provide a more comprehensive and integrated approach to serving the global client franchise.</w:t>
      </w:r>
    </w:p>
    <w:p>
      <w:pPr>
        <w:spacing w:after="0" w:line="27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About P10</w:t>
      </w:r>
    </w:p>
    <w:p>
      <w:pPr>
        <w:spacing w:after="0" w:line="12" w:lineRule="exact"/>
        <w:rPr>
          <w:sz w:val="20"/>
          <w:szCs w:val="20"/>
          <w:color w:val="auto"/>
        </w:rPr>
      </w:pPr>
    </w:p>
    <w:p>
      <w:pPr>
        <w:ind w:right="60"/>
        <w:spacing w:after="0" w:line="238" w:lineRule="auto"/>
        <w:rPr>
          <w:sz w:val="20"/>
          <w:szCs w:val="20"/>
          <w:color w:val="auto"/>
        </w:rPr>
      </w:pPr>
      <w:r>
        <w:rPr>
          <w:rFonts w:ascii="Calibri" w:cs="Calibri" w:eastAsia="Calibri" w:hAnsi="Calibri"/>
          <w:sz w:val="22"/>
          <w:szCs w:val="22"/>
          <w:color w:val="302C45"/>
        </w:rPr>
        <w:t xml:space="preserve">P10 is a leading mult-asset class private markets solutons provider in the alternatve asset management industry. P10’s mission is to provide its investors diferentated access to a broad set of investment solutons that address their diverse investment needs within private markets. As of December 31, 2023, P10 has a global investor base of more than 3,600 investors across 50 states, 60 countries, and six contnents, which includes some of the world’s largest pension funds, endowments, foundatons, corporate pensions, and fnancial insttutons. Visit </w:t>
      </w:r>
      <w:r>
        <w:rPr>
          <w:rFonts w:ascii="Calibri" w:cs="Calibri" w:eastAsia="Calibri" w:hAnsi="Calibri"/>
          <w:sz w:val="22"/>
          <w:szCs w:val="22"/>
          <w:color w:val="000000"/>
        </w:rPr>
        <w:t>www.p10alts.com</w:t>
      </w:r>
      <w:r>
        <w:rPr>
          <w:rFonts w:ascii="Calibri" w:cs="Calibri" w:eastAsia="Calibri" w:hAnsi="Calibri"/>
          <w:sz w:val="22"/>
          <w:szCs w:val="22"/>
          <w:color w:val="302C45"/>
        </w:rPr>
        <w:t>.</w:t>
      </w:r>
    </w:p>
    <w:p>
      <w:pPr>
        <w:spacing w:after="0" w:line="27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Ownership Limitatons</w:t>
      </w:r>
    </w:p>
    <w:p>
      <w:pPr>
        <w:spacing w:after="0" w:line="14" w:lineRule="exact"/>
        <w:rPr>
          <w:sz w:val="20"/>
          <w:szCs w:val="20"/>
          <w:color w:val="auto"/>
        </w:rPr>
      </w:pPr>
    </w:p>
    <w:p>
      <w:pPr>
        <w:ind w:right="160"/>
        <w:spacing w:after="0" w:line="237" w:lineRule="auto"/>
        <w:rPr>
          <w:sz w:val="20"/>
          <w:szCs w:val="20"/>
          <w:color w:val="auto"/>
        </w:rPr>
      </w:pPr>
      <w:r>
        <w:rPr>
          <w:rFonts w:ascii="Calibri" w:cs="Calibri" w:eastAsia="Calibri" w:hAnsi="Calibri"/>
          <w:sz w:val="22"/>
          <w:szCs w:val="22"/>
          <w:color w:val="2F2F45"/>
        </w:rPr>
        <w:t>P10’s Certfcate of Incorporaton contains certain provisions for the protecton of tax benefts relatng to P10’s net operatng losses. Such provisions generally void transfers of shares that would result in the creaton of a new 4.99% shareholder or result in an existng 4.99% shareholder acquiring additonal shares of P10.</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P10 Investor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0563C1"/>
        </w:rPr>
        <w:t>info@p10alts.com</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P10 Media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2F2F45"/>
        </w:rPr>
        <w:t>Josh Clarkson</w:t>
      </w:r>
    </w:p>
    <w:p>
      <w:pPr>
        <w:spacing w:after="0"/>
        <w:rPr>
          <w:sz w:val="20"/>
          <w:szCs w:val="20"/>
          <w:color w:val="auto"/>
        </w:rPr>
      </w:pPr>
      <w:r>
        <w:rPr>
          <w:rFonts w:ascii="Calibri" w:cs="Calibri" w:eastAsia="Calibri" w:hAnsi="Calibri"/>
          <w:sz w:val="22"/>
          <w:szCs w:val="22"/>
          <w:color w:val="auto"/>
        </w:rPr>
        <w:t>jclarkson@prosek.com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2024-04-22T14:30:59Z</dcterms:created>
  <dcterms:modified xsi:type="dcterms:W3CDTF">2024-04-22T14:30:59Z</dcterms:modified>
</cp:coreProperties>
</file>