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26, 2023</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left="3876"/>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8"/>
        </w:trPr>
        <w:tc>
          <w:tcPr>
            <w:tcW w:w="1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7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7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1980" w:type="dxa"/>
            <w:vAlign w:val="bottom"/>
          </w:tcPr>
          <w:p>
            <w:pPr>
              <w:spacing w:after="0"/>
              <w:rPr>
                <w:sz w:val="24"/>
                <w:szCs w:val="24"/>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rPr>
              <w:t>P10, Inc.</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8"/>
              </w:rPr>
              <w:t>4514 Cole Avenue, Suite 1600</w:t>
            </w:r>
          </w:p>
        </w:tc>
      </w:tr>
      <w:tr>
        <w:trPr>
          <w:trHeight w:val="214"/>
        </w:trPr>
        <w:tc>
          <w:tcPr>
            <w:tcW w:w="1980" w:type="dxa"/>
            <w:vAlign w:val="bottom"/>
          </w:tcPr>
          <w:p>
            <w:pPr>
              <w:spacing w:after="0"/>
              <w:rPr>
                <w:sz w:val="18"/>
                <w:szCs w:val="18"/>
                <w:color w:val="auto"/>
              </w:rPr>
            </w:pPr>
          </w:p>
        </w:tc>
        <w:tc>
          <w:tcPr>
            <w:tcW w:w="5080" w:type="dxa"/>
            <w:vAlign w:val="bottom"/>
          </w:tcPr>
          <w:p>
            <w:pPr>
              <w:jc w:val="center"/>
              <w:ind w:right="1616"/>
              <w:spacing w:after="0"/>
              <w:rPr>
                <w:sz w:val="20"/>
                <w:szCs w:val="20"/>
                <w:color w:val="auto"/>
              </w:rPr>
            </w:pPr>
            <w:r>
              <w:rPr>
                <w:rFonts w:ascii="Times New Roman" w:cs="Times New Roman" w:eastAsia="Times New Roman" w:hAnsi="Times New Roman"/>
                <w:sz w:val="18"/>
                <w:szCs w:val="18"/>
                <w:b w:val="1"/>
                <w:bCs w:val="1"/>
                <w:color w:val="auto"/>
                <w:w w:val="98"/>
              </w:rPr>
              <w:t>Dallas, Texas 75205</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390"/>
        </w:trPr>
        <w:tc>
          <w:tcPr>
            <w:tcW w:w="1980" w:type="dxa"/>
            <w:vAlign w:val="bottom"/>
          </w:tcPr>
          <w:p>
            <w:pPr>
              <w:spacing w:after="0"/>
              <w:rPr>
                <w:sz w:val="24"/>
                <w:szCs w:val="24"/>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rPr>
              <w:t>P10, Inc. 2021 Incentive Plan</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(Full title of the plans)</w:t>
            </w:r>
          </w:p>
        </w:tc>
      </w:tr>
      <w:tr>
        <w:trPr>
          <w:trHeight w:val="393"/>
        </w:trPr>
        <w:tc>
          <w:tcPr>
            <w:tcW w:w="1980" w:type="dxa"/>
            <w:vAlign w:val="bottom"/>
          </w:tcPr>
          <w:p>
            <w:pPr>
              <w:spacing w:after="0"/>
              <w:rPr>
                <w:sz w:val="24"/>
                <w:szCs w:val="24"/>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Robert Alpert</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8"/>
              </w:rPr>
              <w:t>C. Clark Webb</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rPr>
              <w:t>Co-Chief Executive Officers</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rPr>
              <w:t>P10, Inc.</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8"/>
              </w:rPr>
              <w:t>4514 Cole Avenue, Suite 1600</w:t>
            </w:r>
          </w:p>
        </w:tc>
      </w:tr>
      <w:tr>
        <w:trPr>
          <w:trHeight w:val="214"/>
        </w:trPr>
        <w:tc>
          <w:tcPr>
            <w:tcW w:w="1980" w:type="dxa"/>
            <w:vAlign w:val="bottom"/>
          </w:tcPr>
          <w:p>
            <w:pPr>
              <w:spacing w:after="0"/>
              <w:rPr>
                <w:sz w:val="18"/>
                <w:szCs w:val="18"/>
                <w:color w:val="auto"/>
              </w:rPr>
            </w:pPr>
          </w:p>
        </w:tc>
        <w:tc>
          <w:tcPr>
            <w:tcW w:w="5080" w:type="dxa"/>
            <w:vAlign w:val="bottom"/>
          </w:tcPr>
          <w:p>
            <w:pPr>
              <w:jc w:val="center"/>
              <w:ind w:right="1616"/>
              <w:spacing w:after="0"/>
              <w:rPr>
                <w:sz w:val="20"/>
                <w:szCs w:val="20"/>
                <w:color w:val="auto"/>
              </w:rPr>
            </w:pPr>
            <w:r>
              <w:rPr>
                <w:rFonts w:ascii="Times New Roman" w:cs="Times New Roman" w:eastAsia="Times New Roman" w:hAnsi="Times New Roman"/>
                <w:sz w:val="18"/>
                <w:szCs w:val="18"/>
                <w:b w:val="1"/>
                <w:bCs w:val="1"/>
                <w:color w:val="auto"/>
                <w:w w:val="98"/>
              </w:rPr>
              <w:t>Dallas, Texas 75205</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 is requested that copies of notices and communications from the Securities and Exchange Commission be sent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 Clark Webb</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 (214) 865-7998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833"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Registration Statement on Form S-8 is being filed by P10,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register an additional 9,000,000 shares of the Registrant’s Class A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that may be offered and sold under the P10, Inc. 2021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These additional shares of Common Stock are additional securities of the same class as other securities for which an original registration statement (File No. 333-264882) on Form S-8 was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May 5, 2022. Amendments to the Plan to increase the number of shares of Common Stock available for issuance under the Plan were approved by the Company’s stockholders at the annual meeting held on June 17, 2022 and the special meeting held on December 9, 2022.</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will provide each recipient of a grant under the Plan (the “</w:t>
      </w:r>
      <w:r>
        <w:rPr>
          <w:rFonts w:ascii="Times New Roman" w:cs="Times New Roman" w:eastAsia="Times New Roman" w:hAnsi="Times New Roman"/>
          <w:sz w:val="18"/>
          <w:szCs w:val="18"/>
          <w:b w:val="1"/>
          <w:bCs w:val="1"/>
          <w:color w:val="auto"/>
        </w:rPr>
        <w:t>Recipients</w:t>
      </w:r>
      <w:r>
        <w:rPr>
          <w:rFonts w:ascii="Times New Roman" w:cs="Times New Roman" w:eastAsia="Times New Roman" w:hAnsi="Times New Roman"/>
          <w:sz w:val="18"/>
          <w:szCs w:val="18"/>
          <w:color w:val="auto"/>
        </w:rPr>
        <w:t>”) with documents that contain information related to the Plan, and other information including, but not limited to, the disclosure required by Item 1 of Form S-8, which information is not required to be and is not being filed as a part of this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or as prospectuses or prospectus supplements pursuant to Rule 424 under the Securities Act. The foregoing information and the documents incorporated by reference in response to Item 3 of Part II of this Registration Statement, taken together, constitute a prospectus that meets the requirements of Section 10(a) of the Securities Act. A Section 10(a) prospectus will be given to each Recipient who receives shares of Common Stock covered by this Registration Statement, in accordance with Rule 428(b)(1) under the Securities Act.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will provide to each Recipient a written statement advising of the availability of documents incorporated by reference in Item 3 of Part II of this Registration Statement (which documents are incorporated by reference in this Section 10(a) prospectus) and of documents required to be delivered pursuant to Rule 428(b) under the Securities Act without charge and upon written or oral request by contacting: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Caryn Peeples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 Manager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P10,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(214) 865-7998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info@p10alts.com</w:t>
      </w:r>
    </w:p>
    <w:p>
      <w:pPr>
        <w:sectPr>
          <w:pgSz w:w="11900" w:h="16838" w:orient="portrait"/>
          <w:cols w:equalWidth="0" w:num="1">
            <w:col w:w="10980"/>
          </w:cols>
          <w:pgMar w:left="440" w:top="266"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SEC are hereby incorporated by reference in this prospectus (unless otherwise noted, the SEC file number for each of the documents listed below is 001-40937):</w:t>
      </w:r>
    </w:p>
    <w:p>
      <w:pPr>
        <w:spacing w:after="0" w:line="6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March 21, 2022;</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The Company’s Quarterly Reports on Form 10-Q filed for the quarterly periods ended </w:t>
        </w:r>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September 30,</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auto"/>
          </w:rPr>
          <w:t xml:space="preserve">The Company’s Current Reports on Form 8-K filed on </w:t>
        </w:r>
        <w:r>
          <w:rPr>
            <w:rFonts w:ascii="Times New Roman" w:cs="Times New Roman" w:eastAsia="Times New Roman" w:hAnsi="Times New Roman"/>
            <w:sz w:val="18"/>
            <w:szCs w:val="18"/>
            <w:u w:val="single" w:color="auto"/>
            <w:color w:val="0000EE"/>
          </w:rPr>
          <w:t>March 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26,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October 13,</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on</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December 28, 2022</w:t>
        </w:r>
      </w:hyperlink>
      <w:hyperlink r:id="rId22">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Definitive Proxy Statements on Schedule 14A filed on </w:t>
      </w:r>
      <w:hyperlink r:id="rId24">
        <w:r>
          <w:rPr>
            <w:rFonts w:ascii="Times New Roman" w:cs="Times New Roman" w:eastAsia="Times New Roman" w:hAnsi="Times New Roman"/>
            <w:sz w:val="18"/>
            <w:szCs w:val="18"/>
            <w:u w:val="single" w:color="auto"/>
            <w:color w:val="0000EE"/>
          </w:rPr>
          <w:t>April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November 15,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Prospectus filed pursuant to </w:t>
      </w:r>
      <w:hyperlink r:id="rId26">
        <w:r>
          <w:rPr>
            <w:rFonts w:ascii="Times New Roman" w:cs="Times New Roman" w:eastAsia="Times New Roman" w:hAnsi="Times New Roman"/>
            <w:sz w:val="18"/>
            <w:szCs w:val="18"/>
            <w:u w:val="single" w:color="auto"/>
            <w:color w:val="0000EE"/>
          </w:rPr>
          <w:t>Rule 424(b)(4</w:t>
        </w:r>
      </w:hyperlink>
      <w:r>
        <w:rPr>
          <w:rFonts w:ascii="Times New Roman" w:cs="Times New Roman" w:eastAsia="Times New Roman" w:hAnsi="Times New Roman"/>
          <w:sz w:val="18"/>
          <w:szCs w:val="18"/>
          <w:color w:val="auto"/>
        </w:rPr>
        <w:t>) on October 22, 2021, including any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960" w:right="180" w:hanging="424"/>
        <w:spacing w:after="0" w:line="312"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included in the Registrant’s Registration Statement on </w:t>
      </w:r>
      <w:hyperlink r:id="rId27">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under the Exchange Act filed with the SEC on October 19, 2021, including any amendment or report filed for the purpose of updating such description.</w:t>
      </w:r>
    </w:p>
    <w:p>
      <w:pPr>
        <w:spacing w:after="0" w:line="140" w:lineRule="exact"/>
        <w:rPr>
          <w:rFonts w:ascii="Times New Roman" w:cs="Times New Roman" w:eastAsia="Times New Roman" w:hAnsi="Times New Roman"/>
          <w:sz w:val="18"/>
          <w:szCs w:val="18"/>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w:t>
      </w:r>
    </w:p>
    <w:p>
      <w:pPr>
        <w:spacing w:after="0" w:line="183" w:lineRule="exact"/>
        <w:rPr>
          <w:rFonts w:ascii="Times New Roman" w:cs="Times New Roman" w:eastAsia="Times New Roman" w:hAnsi="Times New Roman"/>
          <w:sz w:val="18"/>
          <w:szCs w:val="18"/>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As permitted by Delaware law, our amended and restated certificate of incorporation provides that no director will be liable to us or our stockholders for monetary damages for breach of fiduciary duty as a director. The effect of this provision is to restrict our rights and the rights of our stockholders in derivative suits to recover monetary damages against a director for breach of certain fiduciary duties as a director. This provision does not affect a director’s liability under the federal securities laws. We maintain directors’ and officers’ liability insurance in order to limit the exposure to liability for indemnification of directors and officers, including liabilities under the Securities Act.</w:t>
      </w:r>
    </w:p>
    <w:p>
      <w:pPr>
        <w:spacing w:after="0" w:line="183" w:lineRule="exact"/>
        <w:rPr>
          <w:rFonts w:ascii="Times New Roman" w:cs="Times New Roman" w:eastAsia="Times New Roman" w:hAnsi="Times New Roman"/>
          <w:sz w:val="18"/>
          <w:szCs w:val="18"/>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w:t>
      </w:r>
    </w:p>
    <w:p>
      <w:pPr>
        <w:ind w:right="200"/>
        <w:spacing w:after="0" w:line="255" w:lineRule="auto"/>
        <w:rPr>
          <w:sz w:val="20"/>
          <w:szCs w:val="20"/>
          <w:color w:val="auto"/>
        </w:rPr>
      </w:pPr>
      <w:r>
        <w:rPr>
          <w:rFonts w:ascii="Times New Roman" w:cs="Times New Roman" w:eastAsia="Times New Roman" w:hAnsi="Times New Roman"/>
          <w:sz w:val="18"/>
          <w:szCs w:val="18"/>
          <w:color w:val="auto"/>
        </w:rPr>
        <w:t>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w:t>
      </w:r>
    </w:p>
    <w:p>
      <w:pPr>
        <w:sectPr>
          <w:pgSz w:w="11900" w:h="16838" w:orient="portrait"/>
          <w:cols w:equalWidth="0" w:num="1">
            <w:col w:w="10980"/>
          </w:cols>
          <w:pgMar w:left="440" w:top="266" w:right="47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40" w:type="dxa"/>
            <w:vAlign w:val="bottom"/>
            <w:gridSpan w:val="3"/>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215"/>
        </w:trPr>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1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File</w:t>
            </w:r>
          </w:p>
        </w:tc>
        <w:tc>
          <w:tcPr>
            <w:tcW w:w="760" w:type="dxa"/>
            <w:vAlign w:val="bottom"/>
          </w:tcPr>
          <w:p>
            <w:pPr>
              <w:spacing w:after="0"/>
              <w:rPr>
                <w:sz w:val="18"/>
                <w:szCs w:val="18"/>
                <w:color w:val="auto"/>
              </w:rPr>
            </w:pP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Filing</w:t>
            </w:r>
          </w:p>
        </w:tc>
      </w:tr>
      <w:tr>
        <w:trPr>
          <w:trHeight w:val="204"/>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5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66"/>
        </w:trPr>
        <w:tc>
          <w:tcPr>
            <w:tcW w:w="8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4.1</w:t>
            </w:r>
          </w:p>
        </w:tc>
        <w:tc>
          <w:tcPr>
            <w:tcW w:w="5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Amended and Restated Certificate of Incorporation of the Registrant.</w:t>
              </w:r>
            </w:hyperlink>
          </w:p>
        </w:tc>
        <w:tc>
          <w:tcPr>
            <w:tcW w:w="720" w:type="dxa"/>
            <w:vAlign w:val="bottom"/>
            <w:gridSpan w:val="2"/>
          </w:tcPr>
          <w:p>
            <w:pPr>
              <w:spacing w:after="0"/>
              <w:rPr>
                <w:sz w:val="23"/>
                <w:szCs w:val="23"/>
                <w:color w:val="auto"/>
              </w:rPr>
            </w:pPr>
          </w:p>
        </w:tc>
        <w:tc>
          <w:tcPr>
            <w:tcW w:w="9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001-40937</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26, 2021</w:t>
            </w:r>
          </w:p>
        </w:tc>
      </w:tr>
      <w:tr>
        <w:trPr>
          <w:trHeight w:val="304"/>
        </w:trPr>
        <w:tc>
          <w:tcPr>
            <w:tcW w:w="8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4.2</w:t>
            </w:r>
          </w:p>
        </w:tc>
        <w:tc>
          <w:tcPr>
            <w:tcW w:w="5720" w:type="dxa"/>
            <w:vAlign w:val="bottom"/>
            <w:gridSpan w:val="11"/>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Amended and Restated Bylaws of the Registrant.</w:t>
              </w:r>
            </w:hyperlink>
          </w:p>
        </w:tc>
        <w:tc>
          <w:tcPr>
            <w:tcW w:w="9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001-40937</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26, 2021</w:t>
            </w:r>
          </w:p>
        </w:tc>
      </w:tr>
      <w:tr>
        <w:trPr>
          <w:trHeight w:val="304"/>
        </w:trPr>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5.1*</w:t>
            </w:r>
          </w:p>
        </w:tc>
        <w:tc>
          <w:tcPr>
            <w:tcW w:w="25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Baker &amp; Hostetler LLP</w:t>
            </w:r>
          </w:p>
        </w:tc>
        <w:tc>
          <w:tcPr>
            <w:tcW w:w="1020" w:type="dxa"/>
            <w:vAlign w:val="bottom"/>
            <w:tcBorders>
              <w:top w:val="single" w:sz="8" w:color="0000EE"/>
            </w:tcBorders>
          </w:tcPr>
          <w:p>
            <w:pPr>
              <w:spacing w:after="0"/>
              <w:rPr>
                <w:sz w:val="24"/>
                <w:szCs w:val="24"/>
                <w:color w:val="auto"/>
              </w:rPr>
            </w:pPr>
          </w:p>
        </w:tc>
        <w:tc>
          <w:tcPr>
            <w:tcW w:w="218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23.1*</w:t>
            </w:r>
          </w:p>
        </w:tc>
        <w:tc>
          <w:tcPr>
            <w:tcW w:w="57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23.2*</w:t>
            </w:r>
          </w:p>
        </w:tc>
        <w:tc>
          <w:tcPr>
            <w:tcW w:w="4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Baker &amp; Hostetler LLP (included in Exhibit 5.1)</w:t>
            </w:r>
          </w:p>
        </w:tc>
        <w:tc>
          <w:tcPr>
            <w:tcW w:w="20" w:type="dxa"/>
            <w:vAlign w:val="bottom"/>
            <w:tcBorders>
              <w:top w:val="single" w:sz="8" w:color="0000EE"/>
            </w:tcBorders>
          </w:tcPr>
          <w:p>
            <w:pPr>
              <w:spacing w:after="0"/>
              <w:rPr>
                <w:sz w:val="24"/>
                <w:szCs w:val="24"/>
                <w:color w:val="auto"/>
              </w:rPr>
            </w:pPr>
          </w:p>
        </w:tc>
        <w:tc>
          <w:tcPr>
            <w:tcW w:w="136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24.1*</w:t>
            </w:r>
          </w:p>
        </w:tc>
        <w:tc>
          <w:tcPr>
            <w:tcW w:w="57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Form S-8).</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8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99.1</w:t>
            </w:r>
          </w:p>
        </w:tc>
        <w:tc>
          <w:tcPr>
            <w:tcW w:w="21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P10, Inc. 2021 Incentive Plan</w:t>
              </w:r>
            </w:hyperlink>
          </w:p>
        </w:tc>
        <w:tc>
          <w:tcPr>
            <w:tcW w:w="2840" w:type="dxa"/>
            <w:vAlign w:val="bottom"/>
            <w:tcBorders>
              <w:top w:val="single" w:sz="8" w:color="0000EE"/>
            </w:tcBorders>
            <w:gridSpan w:val="5"/>
          </w:tcPr>
          <w:p>
            <w:pPr>
              <w:spacing w:after="0"/>
              <w:rPr>
                <w:sz w:val="24"/>
                <w:szCs w:val="24"/>
                <w:color w:val="auto"/>
              </w:rPr>
            </w:pPr>
          </w:p>
        </w:tc>
        <w:tc>
          <w:tcPr>
            <w:tcW w:w="740" w:type="dxa"/>
            <w:vAlign w:val="bottom"/>
            <w:gridSpan w:val="3"/>
          </w:tcPr>
          <w:p>
            <w:pPr>
              <w:spacing w:after="0"/>
              <w:rPr>
                <w:sz w:val="24"/>
                <w:szCs w:val="24"/>
                <w:color w:val="auto"/>
              </w:rPr>
            </w:pPr>
          </w:p>
        </w:tc>
        <w:tc>
          <w:tcPr>
            <w:tcW w:w="9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333-259823</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18, 2021</w:t>
            </w:r>
          </w:p>
        </w:tc>
      </w:tr>
      <w:tr>
        <w:trPr>
          <w:trHeight w:val="304"/>
        </w:trPr>
        <w:tc>
          <w:tcPr>
            <w:tcW w:w="8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99.3</w:t>
            </w:r>
          </w:p>
        </w:tc>
        <w:tc>
          <w:tcPr>
            <w:tcW w:w="5720" w:type="dxa"/>
            <w:vAlign w:val="bottom"/>
            <w:gridSpan w:val="11"/>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Restricted Stock Award Agreement under the 2021 Equity Incentive</w:t>
              </w:r>
            </w:hyperlink>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5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Plan</w:t>
              </w:r>
            </w:hyperlink>
          </w:p>
        </w:tc>
        <w:tc>
          <w:tcPr>
            <w:tcW w:w="180" w:type="dxa"/>
            <w:vAlign w:val="bottom"/>
          </w:tcPr>
          <w:p>
            <w:pPr>
              <w:spacing w:after="0"/>
              <w:rPr>
                <w:sz w:val="17"/>
                <w:szCs w:val="17"/>
                <w:color w:val="auto"/>
              </w:rPr>
            </w:pPr>
          </w:p>
        </w:tc>
        <w:tc>
          <w:tcPr>
            <w:tcW w:w="900" w:type="dxa"/>
            <w:vAlign w:val="bottom"/>
          </w:tcPr>
          <w:p>
            <w:pPr>
              <w:jc w:val="right"/>
              <w:ind w:right="76"/>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right"/>
              <w:ind w:right="58"/>
              <w:spacing w:after="0" w:line="196" w:lineRule="exact"/>
              <w:rPr>
                <w:sz w:val="20"/>
                <w:szCs w:val="20"/>
                <w:color w:val="auto"/>
              </w:rPr>
            </w:pPr>
            <w:r>
              <w:rPr>
                <w:rFonts w:ascii="Times New Roman" w:cs="Times New Roman" w:eastAsia="Times New Roman" w:hAnsi="Times New Roman"/>
                <w:sz w:val="18"/>
                <w:szCs w:val="18"/>
                <w:color w:val="auto"/>
              </w:rPr>
              <w:t>333-259823</w:t>
            </w:r>
          </w:p>
        </w:tc>
        <w:tc>
          <w:tcPr>
            <w:tcW w:w="760" w:type="dxa"/>
            <w:vAlign w:val="bottom"/>
          </w:tcPr>
          <w:p>
            <w:pPr>
              <w:jc w:val="right"/>
              <w:ind w:right="94"/>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September 27, 2021</w:t>
            </w: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7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right="120" w:firstLine="436"/>
        <w:spacing w:after="0" w:line="274" w:lineRule="auto"/>
        <w:tabs>
          <w:tab w:leader="none" w:pos="70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ectPr>
          <w:pgSz w:w="11900" w:h="16838" w:orient="portrait"/>
          <w:cols w:equalWidth="0" w:num="1">
            <w:col w:w="10960"/>
          </w:cols>
          <w:pgMar w:left="440" w:top="270" w:right="499" w:bottom="1440" w:gutter="0" w:footer="0" w:header="0"/>
        </w:sectPr>
      </w:pPr>
    </w:p>
    <w:bookmarkStart w:id="4" w:name="page5"/>
    <w:bookmarkEnd w:id="4"/>
    <w:p>
      <w:pPr>
        <w:ind w:left="4" w:right="300" w:firstLine="436"/>
        <w:spacing w:after="0" w:line="282" w:lineRule="auto"/>
        <w:tabs>
          <w:tab w:leader="none" w:pos="7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4" w:right="40" w:firstLine="436"/>
        <w:spacing w:after="0" w:line="266" w:lineRule="auto"/>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right="560" w:firstLine="436"/>
        <w:spacing w:after="0" w:line="282" w:lineRule="auto"/>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4" w:hanging="4"/>
        <w:spacing w:after="0" w:line="258" w:lineRule="auto"/>
        <w:tabs>
          <w:tab w:leader="none" w:pos="2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4" w:right="80" w:hanging="4"/>
        <w:spacing w:after="0" w:line="254" w:lineRule="auto"/>
        <w:tabs>
          <w:tab w:leader="none" w:pos="2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64"/>
          </w:cols>
          <w:pgMar w:left="436" w:top="270" w:right="59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January 26, 2023.</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Robert Alpert</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Co-Chief Executive Officer and Chairman of the</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Board of Directors (Principal Executive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 Clark Webb</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Co-Chief Executive Officer</w:t>
      </w:r>
    </w:p>
    <w:p>
      <w:pPr>
        <w:sectPr>
          <w:pgSz w:w="11900" w:h="16838" w:orient="portrait"/>
          <w:cols w:equalWidth="0" w:num="1">
            <w:col w:w="10920"/>
          </w:cols>
          <w:pgMar w:left="440" w:top="266" w:right="5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OF ATTORNEY</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Robert Alpert, C. Clark Webb and Amanda Coussens, and each of them, as the undersigned’s true and lawful attorneys-in-fact and agents, with full power of substitution, for the undersigned in any and all capacities, to sign any or all amendments to this Registration Statement on Form S-8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for all intents and purposes as the undersigned might or could do in person, hereby and about the premises hereby ratifying and confirming all that said attorneys-in-fact and agent, proxy and agent, or their substitute, may lawfully do or cause to be done by virtue hereof</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following persons in the capacities, on January 26, 2023 have signed this Registration Statement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100" w:type="dxa"/>
            <w:vAlign w:val="bottom"/>
          </w:tcPr>
          <w:p>
            <w:pPr>
              <w:spacing w:after="0"/>
              <w:rPr>
                <w:sz w:val="20"/>
                <w:szCs w:val="20"/>
                <w:color w:val="auto"/>
              </w:rPr>
            </w:pPr>
          </w:p>
        </w:tc>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418"/>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Alpert</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and Chairman of the Board of Directors (Principal Executive</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Alpert</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427"/>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 Clark Webb</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and Director (Principal Executive Officer)</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Amanda Coussens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Amanda Coussens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F. Souder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F. Souder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B. Stewart, Jr.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 Stewart, Jr.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Travis Barnes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Barnes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Edwin Poston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Gwilliam</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175704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1757045" cy="214630"/>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181610</wp:posOffset>
            </wp:positionV>
            <wp:extent cx="1457325" cy="900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1457325" cy="90043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P10, Inc., a Delaware corporation (the “Company”), in connection with the filing of a Registration Statement on Form S-8 (the “Registration Statement”) with the Securities and Exchange Commission (the “Commission”) under the Securities Act of 1933 (the “Act”). The Registration Statement relates to registration under the Act by the Company of an additional 9,000,000 shares (the “Shares”) of Class A common stock, par value $0.001 per share, of the Company to be offered and sold pursuant to the P10 Holdings, Inc. 2021 Incentive Plan (the “Plan”).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examined such documents and such matters of fact and law as we deem necessary to render the opinions contained herein. In our examination, we have assumed, but have not independently verified, the genuineness of all signatures, the conformity to original documents of all documents submitted to us as certified, facsimile or other copies, and the authenticity of all such documents. As to questions of fact material to this opinion, we have relied on certificates or comparable documents of public officials and of officers and representatives of the Company.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qualifications stated herein, we are of the opinion that the Shares to be issued by the Company under the Plan, when issued and sold in accordance with the terms of the Plan, will be validly issued, fully paid and non-assessable.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General Corporation Law of the State of Delaware and we express no opinion as to the effect on the matters covered by this letter of the laws of any other jurisdiction.</w:t>
      </w:r>
    </w:p>
    <w:p>
      <w:pPr>
        <w:sectPr>
          <w:pgSz w:w="11900" w:h="16838" w:orient="portrait"/>
          <w:cols w:equalWidth="0" w:num="1">
            <w:col w:w="11020"/>
          </w:cols>
          <w:pgMar w:left="440" w:top="117"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26,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5.1 to the Registration Statement. In giving such consent, we do not hereby admit that we are in the category of persons whose consent is required under Section 7 of the Act or the rules and regulations of the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&amp; Hostetler,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&amp; Hostetler, LLP</w:t>
      </w:r>
    </w:p>
    <w:p>
      <w:pPr>
        <w:sectPr>
          <w:pgSz w:w="11900" w:h="16838" w:orient="portrait"/>
          <w:cols w:equalWidth="0" w:num="1">
            <w:col w:w="10860"/>
          </w:cols>
          <w:pgMar w:left="440" w:top="270" w:right="5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18, 2022, with respect to the consolidated financial statements of P10, Inc.,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2023</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54" w:lineRule="exact"/>
        <w:rPr>
          <w:sz w:val="20"/>
          <w:szCs w:val="20"/>
          <w:color w:val="auto"/>
        </w:rPr>
      </w:pPr>
    </w:p>
    <w:tbl>
      <w:tblPr>
        <w:tblLayout w:type="fixed"/>
        <w:tblInd w:w="134" w:type="dxa"/>
        <w:tblCellMar>
          <w:top w:w="0" w:type="dxa"/>
          <w:left w:w="0" w:type="dxa"/>
          <w:bottom w:w="0" w:type="dxa"/>
          <w:right w:w="0" w:type="dxa"/>
        </w:tblCellMar>
      </w:tblPr>
      <w:tr>
        <w:trPr>
          <w:trHeight w:val="142"/>
        </w:trPr>
        <w:tc>
          <w:tcPr>
            <w:tcW w:w="3360" w:type="dxa"/>
            <w:vAlign w:val="bottom"/>
            <w:tcBorders>
              <w:top w:val="single" w:sz="8" w:color="auto"/>
              <w:left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3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36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13"/>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18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3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Price per</w:t>
            </w:r>
          </w:p>
        </w:tc>
        <w:tc>
          <w:tcPr>
            <w:tcW w:w="1180" w:type="dxa"/>
            <w:vAlign w:val="bottom"/>
            <w:tcBorders>
              <w:right w:val="single" w:sz="8" w:color="auto"/>
            </w:tcBorders>
          </w:tcPr>
          <w:p>
            <w:pPr>
              <w:jc w:val="center"/>
              <w:ind w:left="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4"/>
        </w:trPr>
        <w:tc>
          <w:tcPr>
            <w:tcW w:w="336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Unit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3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06"/>
        </w:trPr>
        <w:tc>
          <w:tcPr>
            <w:tcW w:w="3360" w:type="dxa"/>
            <w:vAlign w:val="bottom"/>
            <w:tcBorders>
              <w:left w:val="single" w:sz="8" w:color="auto"/>
              <w:right w:val="single" w:sz="8" w:color="auto"/>
            </w:tcBorders>
          </w:tcPr>
          <w:p>
            <w:pPr>
              <w:jc w:val="center"/>
              <w:ind w:left="35"/>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3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Class A</w:t>
            </w: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$0.001 per</w:t>
            </w: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9,000,000(1)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$11.245</w:t>
            </w:r>
          </w:p>
        </w:tc>
        <w:tc>
          <w:tcPr>
            <w:tcW w:w="1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$101,205,000</w:t>
            </w:r>
          </w:p>
        </w:tc>
        <w:tc>
          <w:tcPr>
            <w:tcW w:w="13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8"/>
              </w:rPr>
              <w:t>$0.000110200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$11,152.79</w:t>
            </w:r>
          </w:p>
        </w:tc>
        <w:tc>
          <w:tcPr>
            <w:tcW w:w="0" w:type="dxa"/>
            <w:vAlign w:val="bottom"/>
          </w:tcPr>
          <w:p>
            <w:pPr>
              <w:spacing w:after="0"/>
              <w:rPr>
                <w:sz w:val="1"/>
                <w:szCs w:val="1"/>
                <w:color w:val="auto"/>
              </w:rPr>
            </w:pPr>
          </w:p>
        </w:tc>
      </w:tr>
      <w:tr>
        <w:trPr>
          <w:trHeight w:val="241"/>
        </w:trPr>
        <w:tc>
          <w:tcPr>
            <w:tcW w:w="33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8"/>
              </w:rPr>
              <w:t>$0.000110200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$11,152.79</w:t>
            </w: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$11,152.79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(the “Securities Act”), this Registration Statement on Form S-8 (this “Registration Statement”) shall also cover any additional shares of Class A common stock, par value $0.001 per share (the “Common Stock”), of P10, Inc. (the “Registrant”) that become issuable under the P10, Inc. 2021 Incentive Plan (the “Plan”), by reason of any stock dividend, stock split, recapitalization or any other similar transaction that results in an increase in the number of the Registrant’s outstanding shares of Common Stock.</w:t>
      </w:r>
    </w:p>
    <w:p>
      <w:pPr>
        <w:spacing w:after="0" w:line="2"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and (h) under the Securities Act based on a price of $11.245 per share of Common Stock, which is the average of the high and low price per Common Share as reported by on The New York Stock Exchange on January 24, 2023.</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lowerRoman"/>
      <w:start w:val="3"/>
    </w:lvl>
  </w:abstractNum>
  <w:abstractNum w:abstractNumId="4">
    <w:nsid w:val="507ED7AB"/>
    <w:multiLevelType w:val="hybridMultilevel"/>
    <w:lvl w:ilvl="0">
      <w:lvlJc w:val="left"/>
      <w:lvlText w:val="%1"/>
      <w:numFmt w:val="upperLetter"/>
      <w:start w:val="1"/>
    </w:lvl>
    <w:lvl w:ilvl="1">
      <w:lvlJc w:val="left"/>
      <w:lvlText w:val="%2."/>
      <w:numFmt w:val="decimal"/>
      <w:start w:val="2"/>
    </w:lvl>
  </w:abstractNum>
  <w:abstractNum w:abstractNumId="5">
    <w:nsid w:val="2EB141F2"/>
    <w:multiLevelType w:val="hybridMultilevel"/>
    <w:lvl w:ilvl="0">
      <w:lvlJc w:val="left"/>
      <w:lvlText w:val="%1."/>
      <w:numFmt w:val="upp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8"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jpeg"/><Relationship Id="rId39" Type="http://schemas.openxmlformats.org/officeDocument/2006/relationships/image" Target="media/image20.jpeg"/><Relationship Id="rId40" Type="http://schemas.openxmlformats.org/officeDocument/2006/relationships/image" Target="media/image21.png"/><Relationship Id="rId20" Type="http://schemas.openxmlformats.org/officeDocument/2006/relationships/hyperlink" Target="http://www.sec.gov/ix?doc=/Archives/edgar/data/1841968/000095017022004180/px-20211231.htm" TargetMode="External"/><Relationship Id="rId21" Type="http://schemas.openxmlformats.org/officeDocument/2006/relationships/hyperlink" Target="http://www.sec.gov/ix?doc=/Archives/edgar/data/1841968/000095017022025084/px-20220930.htm" TargetMode="External"/><Relationship Id="rId22" Type="http://schemas.openxmlformats.org/officeDocument/2006/relationships/hyperlink" Target="http://www.sec.gov/ix?doc=/Archives/edgar/data/1841968/000119312522262228/d413045d8k.htm" TargetMode="External"/><Relationship Id="rId23" Type="http://schemas.openxmlformats.org/officeDocument/2006/relationships/hyperlink" Target="http://www.sec.gov/ix?doc=/Archives/edgar/data/1841968/000119312522313759/d432205d8ka.htm" TargetMode="External"/><Relationship Id="rId24" Type="http://schemas.openxmlformats.org/officeDocument/2006/relationships/hyperlink" Target="http://www.sec.gov/Archives/edgar/data/1841968/000119312522133567/d301592ddef14a.htm" TargetMode="External"/><Relationship Id="rId25" Type="http://schemas.openxmlformats.org/officeDocument/2006/relationships/hyperlink" Target="http://www.sec.gov/Archives/edgar/data/1841968/000119312522284872/d396728ddef14a.htm" TargetMode="External"/><Relationship Id="rId26" Type="http://schemas.openxmlformats.org/officeDocument/2006/relationships/hyperlink" Target="http://www.sec.gov/Archives/edgar/data/1841968/000119312521305414/d118332d424b4.htm" TargetMode="External"/><Relationship Id="rId27" Type="http://schemas.openxmlformats.org/officeDocument/2006/relationships/hyperlink" Target="http://www.sec.gov/Archives/edgar/data/1841968/000119312521302126/d197268d8a12b.htm" TargetMode="External"/><Relationship Id="rId29" Type="http://schemas.openxmlformats.org/officeDocument/2006/relationships/hyperlink" Target="http://www.sec.gov/Archives/edgar/data/1841968/000119312521308150/d247132dex31.htm" TargetMode="External"/><Relationship Id="rId30" Type="http://schemas.openxmlformats.org/officeDocument/2006/relationships/hyperlink" Target="http://www.sec.gov/Archives/edgar/data/1841968/000119312521308150/d247132dex32.htm" TargetMode="External"/><Relationship Id="rId31" Type="http://schemas.openxmlformats.org/officeDocument/2006/relationships/hyperlink" Target="http://www.sec.gov/Archives/edgar/data/1841968/000119312521300289/d118332dex101.htm" TargetMode="External"/><Relationship Id="rId32" Type="http://schemas.openxmlformats.org/officeDocument/2006/relationships/hyperlink" Target="http://www.sec.gov/Archives/edgar/data/1841968/000119312521284294/d11833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2023-01-26T16:59:52Z</dcterms:created>
  <dcterms:modified xsi:type="dcterms:W3CDTF">2023-01-26T16:59:52Z</dcterms:modified>
</cp:coreProperties>
</file>