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October 25, 2006</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6880" w:type="dxa"/>
            <w:vAlign w:val="bottom"/>
            <w:gridSpan w:val="3"/>
          </w:tcPr>
          <w:p>
            <w:pPr>
              <w:jc w:val="center"/>
              <w:ind w:right="4472"/>
              <w:spacing w:after="0"/>
              <w:rPr>
                <w:sz w:val="20"/>
                <w:szCs w:val="20"/>
                <w:color w:val="auto"/>
              </w:rPr>
            </w:pPr>
            <w:r>
              <w:rPr>
                <w:rFonts w:ascii="Arial" w:cs="Arial" w:eastAsia="Arial" w:hAnsi="Arial"/>
                <w:sz w:val="18"/>
                <w:szCs w:val="18"/>
                <w:i w:val="1"/>
                <w:iCs w:val="1"/>
                <w:color w:val="auto"/>
                <w:w w:val="89"/>
              </w:rPr>
              <w:t>(Commission File Number)</w:t>
            </w:r>
          </w:p>
        </w:tc>
      </w:tr>
      <w:tr>
        <w:trPr>
          <w:trHeight w:val="365"/>
        </w:trPr>
        <w:tc>
          <w:tcPr>
            <w:tcW w:w="4560" w:type="dxa"/>
            <w:vAlign w:val="bottom"/>
          </w:tcPr>
          <w:p>
            <w:pPr>
              <w:jc w:val="center"/>
              <w:ind w:left="852"/>
              <w:spacing w:after="0"/>
              <w:rPr>
                <w:sz w:val="20"/>
                <w:szCs w:val="20"/>
                <w:color w:val="auto"/>
              </w:rPr>
            </w:pPr>
            <w:r>
              <w:rPr>
                <w:rFonts w:ascii="Arial" w:cs="Arial" w:eastAsia="Arial" w:hAnsi="Arial"/>
                <w:sz w:val="18"/>
                <w:szCs w:val="18"/>
                <w:b w:val="1"/>
                <w:bCs w:val="1"/>
                <w:color w:val="auto"/>
                <w:w w:val="88"/>
              </w:rPr>
              <w:t>Delaware</w:t>
            </w:r>
          </w:p>
        </w:tc>
        <w:tc>
          <w:tcPr>
            <w:tcW w:w="6880" w:type="dxa"/>
            <w:vAlign w:val="bottom"/>
            <w:gridSpan w:val="3"/>
          </w:tcPr>
          <w:p>
            <w:pPr>
              <w:jc w:val="right"/>
              <w:ind w:right="2252"/>
              <w:spacing w:after="0"/>
              <w:rPr>
                <w:sz w:val="20"/>
                <w:szCs w:val="20"/>
                <w:color w:val="auto"/>
              </w:rPr>
            </w:pPr>
            <w:r>
              <w:rPr>
                <w:rFonts w:ascii="Arial" w:cs="Arial" w:eastAsia="Arial" w:hAnsi="Arial"/>
                <w:sz w:val="18"/>
                <w:szCs w:val="18"/>
                <w:b w:val="1"/>
                <w:bCs w:val="1"/>
                <w:color w:val="auto"/>
              </w:rPr>
              <w:t>74-2961657</w:t>
            </w:r>
          </w:p>
        </w:tc>
      </w:tr>
      <w:tr>
        <w:trPr>
          <w:trHeight w:val="110"/>
        </w:trPr>
        <w:tc>
          <w:tcPr>
            <w:tcW w:w="4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jc w:val="center"/>
              <w:ind w:left="852"/>
              <w:spacing w:after="0"/>
              <w:rPr>
                <w:sz w:val="20"/>
                <w:szCs w:val="20"/>
                <w:color w:val="auto"/>
              </w:rPr>
            </w:pPr>
            <w:r>
              <w:rPr>
                <w:rFonts w:ascii="Arial" w:cs="Arial" w:eastAsia="Arial" w:hAnsi="Arial"/>
                <w:sz w:val="18"/>
                <w:szCs w:val="18"/>
                <w:i w:val="1"/>
                <w:iCs w:val="1"/>
                <w:color w:val="auto"/>
                <w:w w:val="91"/>
              </w:rPr>
              <w:t>(State of Other Jurisdiction of Incorporation)</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365"/>
        </w:trPr>
        <w:tc>
          <w:tcPr>
            <w:tcW w:w="4560" w:type="dxa"/>
            <w:vAlign w:val="bottom"/>
          </w:tcPr>
          <w:p>
            <w:pPr>
              <w:jc w:val="center"/>
              <w:ind w:left="85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6880" w:type="dxa"/>
            <w:vAlign w:val="bottom"/>
            <w:gridSpan w:val="3"/>
          </w:tcPr>
          <w:p>
            <w:pPr>
              <w:jc w:val="right"/>
              <w:ind w:right="2452"/>
              <w:spacing w:after="0"/>
              <w:rPr>
                <w:sz w:val="20"/>
                <w:szCs w:val="20"/>
                <w:color w:val="auto"/>
              </w:rPr>
            </w:pPr>
            <w:r>
              <w:rPr>
                <w:rFonts w:ascii="Arial" w:cs="Arial" w:eastAsia="Arial" w:hAnsi="Arial"/>
                <w:sz w:val="18"/>
                <w:szCs w:val="18"/>
                <w:b w:val="1"/>
                <w:bCs w:val="1"/>
                <w:color w:val="auto"/>
              </w:rPr>
              <w:t>78758</w:t>
            </w:r>
          </w:p>
        </w:tc>
      </w:tr>
      <w:tr>
        <w:trPr>
          <w:trHeight w:val="110"/>
        </w:trPr>
        <w:tc>
          <w:tcPr>
            <w:tcW w:w="4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jc w:val="center"/>
              <w:ind w:left="85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365"/>
        </w:trPr>
        <w:tc>
          <w:tcPr>
            <w:tcW w:w="4560" w:type="dxa"/>
            <w:vAlign w:val="bottom"/>
          </w:tcPr>
          <w:p>
            <w:pPr>
              <w:spacing w:after="0"/>
              <w:rPr>
                <w:sz w:val="24"/>
                <w:szCs w:val="24"/>
                <w:color w:val="auto"/>
              </w:rPr>
            </w:pPr>
          </w:p>
        </w:tc>
        <w:tc>
          <w:tcPr>
            <w:tcW w:w="6880" w:type="dxa"/>
            <w:vAlign w:val="bottom"/>
            <w:gridSpan w:val="3"/>
          </w:tcPr>
          <w:p>
            <w:pPr>
              <w:jc w:val="right"/>
              <w:ind w:right="5092"/>
              <w:spacing w:after="0"/>
              <w:rPr>
                <w:sz w:val="20"/>
                <w:szCs w:val="20"/>
                <w:color w:val="auto"/>
              </w:rPr>
            </w:pPr>
            <w:r>
              <w:rPr>
                <w:rFonts w:ascii="Arial" w:cs="Arial" w:eastAsia="Arial" w:hAnsi="Arial"/>
                <w:sz w:val="18"/>
                <w:szCs w:val="18"/>
                <w:b w:val="1"/>
                <w:bCs w:val="1"/>
                <w:color w:val="auto"/>
              </w:rPr>
              <w:t>(512) 836-6464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25, 2006, Active Power, Inc. issued a press release reporting its results of operations for its fiscal quarter ended September 30, 2006. A copy of the press release is furnished herewith as Exhibit 99.1.</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Exhibits and Financial Statements.</w:t>
      </w:r>
    </w:p>
    <w:p>
      <w:pPr>
        <w:spacing w:after="0" w:line="22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Exhibit 99.1   Press Release dated October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312"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Dated: October 25,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Jim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Jim Clishem</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THIRD QUARTER 2006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Revenues Increase, Losses Narrow</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AUSTIN, Texas (October 25, 2006) -- Active Power, Inc. (NASDAQ: ACPW) today announced results for its third quarter ended September 30, 2006. Revenue for the third quarter of fiscal 2006 was $5.7 million, up 27% from the same period last year and up 5% from the previous quarter. For the nine-month period ended September 30, 2006 revenues were $16.8 million compared to $12.6 million in 2005, an increase of 33%.</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loss for the third quarter of 2006 was $4.9 million, or 10 cents per share, compared to a net loss of $5.2 million, or 11 cents per share, for the same period last year and a net loss of $6.0 million, or 12 cents per share in the previous quarter. Net loss for this quarter includes $728,000, or 1 cent per share, for stock-based compensation and $458,000 related to severance expenses following a reduction in headcount in July. Excluding the effects of stock-based compensation expense, which we began reporting in 2006 and the severance costs, our loss for the quarter represents a 29% improvement as compared to the $5.2 million loss recorded in the third quarter of 2005.</w:t>
      </w:r>
    </w:p>
    <w:p>
      <w:pPr>
        <w:spacing w:after="0" w:line="19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For the quarter, the Company reported a record gross profit of $911,000 or 16% of total revenue. This was an improvement of 18 percentage points from the -2% gross profit reported in the immediately prior quarter and a 15 percentage point improvement from the 1% gross profit recorded in the same period last year. This improvement reflects our recent initiatives to address premium markets, accelerate our growth in power quality services, the benefit of recent price increases and a continued shift in our sales mix towards higher margin direct sales transactions.</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and investments usage for the quarter was $6.3 million, within our previously provided guidance as compared to $6.8 million for the same period last year and $4.0 million for the previous quarter. Cash and investments at September 30, 2006 were $26.7 million.</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third quarter we began to see positive results from our efforts to diversify our sales channels, increase prices, grow services, manage operating costs, and in general focus the company towards profitable growth,” said Jim Clishem, President and CEO of Active Power. “Our gross profit improvements reflect our determined activities to focus on the business fundamentals while increasing our brand awareness in the power quality industry. Bookings have grown significantly in the quarter. We have seen particularly strong growth in our MegaWatt-Class UPS products where our advantages of higher efficiency and unmatched power density are magnified compared to alternative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56" w:lineRule="auto"/>
        <w:rPr>
          <w:sz w:val="20"/>
          <w:szCs w:val="20"/>
          <w:color w:val="auto"/>
        </w:rPr>
      </w:pPr>
      <w:r>
        <w:rPr>
          <w:rFonts w:ascii="Arial" w:cs="Arial" w:eastAsia="Arial" w:hAnsi="Arial"/>
          <w:sz w:val="18"/>
          <w:szCs w:val="18"/>
          <w:color w:val="auto"/>
        </w:rPr>
        <w:t>“I was particularly pleased with the substantial increase in our service revenues this quarter to $905,000, representing a 69% increase from the same period last year. We continue to execute upon our multi-channel sales strategy while deploying global sales initiatives. I believe we will continue to opportunistically garner additional market share from our competition as we focus upon delivering innovative power solutions in the more profitable market segments” continued Clishem.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Business Highlights:</w:t>
      </w:r>
    </w:p>
    <w:p>
      <w:pPr>
        <w:spacing w:after="0" w:line="225" w:lineRule="exact"/>
        <w:rPr>
          <w:sz w:val="20"/>
          <w:szCs w:val="20"/>
          <w:color w:val="auto"/>
        </w:rPr>
      </w:pPr>
    </w:p>
    <w:p>
      <w:pPr>
        <w:ind w:left="1160" w:right="28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MegaWatt-Class systems revenues have grown over 500% compared to the same period last year which continues to validate the growth and acceptance of Active Power’s positioning in the high power data center and industrial markets.</w:t>
      </w:r>
    </w:p>
    <w:p>
      <w:pPr>
        <w:spacing w:after="0" w:line="118"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to gain market traction with CoolAir and our unique service oriented ‘usage’ pricing model which augments our traditional client option to purchase the product outright.</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revenue grew 43% over the prior quarter to $905,000 reflecting our commitment to the Active Power branded products and our desire to connect directly with our clients as a comprehensive service provider.</w:t>
      </w:r>
    </w:p>
    <w:p>
      <w:pPr>
        <w:spacing w:after="0" w:line="118" w:lineRule="exact"/>
        <w:rPr>
          <w:rFonts w:ascii="Arial" w:cs="Arial" w:eastAsia="Arial" w:hAnsi="Arial"/>
          <w:sz w:val="18"/>
          <w:szCs w:val="18"/>
          <w:color w:val="auto"/>
        </w:rPr>
      </w:pPr>
    </w:p>
    <w:p>
      <w:pPr>
        <w:ind w:left="1160" w:right="28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appointment of industry veteran Gary Rackow as Vice President of Sales – Americas with responsibilities for the Company’s sales in both North and South America.</w:t>
      </w:r>
    </w:p>
    <w:p>
      <w:pPr>
        <w:spacing w:after="0" w:line="118"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equipment to nine countries in Q3. International sales accounted for 50% of our total revenue in Q3, and we believe that sales through our EMEA channel will continue to be a growth driver for the remainder of 2006.</w:t>
      </w:r>
    </w:p>
    <w:p>
      <w:pPr>
        <w:spacing w:after="0" w:line="118" w:lineRule="exact"/>
        <w:rPr>
          <w:rFonts w:ascii="Arial" w:cs="Arial" w:eastAsia="Arial" w:hAnsi="Arial"/>
          <w:sz w:val="18"/>
          <w:szCs w:val="18"/>
          <w:color w:val="auto"/>
        </w:rPr>
      </w:pPr>
    </w:p>
    <w:p>
      <w:pPr>
        <w:ind w:left="1160" w:right="60" w:hanging="571"/>
        <w:spacing w:after="0" w:line="256"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2006 we reduced our workforce by approximately 19% or 32 people, across all departments to reduce our rate of cash expenditures and better align our resources and spending with our changing business strategy of supporting a multi-channel sales approach and commercializing previously developed technologies. We incurred termination benefits and costs of approximately $458,000 with these actions that was expensed during the third quarter of 2006.</w:t>
      </w:r>
    </w:p>
    <w:p>
      <w:pPr>
        <w:spacing w:after="0" w:line="129"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a shelf registration statement on Form S-3 with the Securities and Exchange Commission to provide the Company with the flexibility to consider and satisfy possible future financing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Active Power expects Q4 2006 revenue to be approximately $6 to $7 million and Q4 earnings per share to be a loss of approximately 9 to 11 cents, which includes approximately 1 cent per share for stock-based compensation expenses. We expect cash and investments usage in Q4 to decline and be in the range of $4.5 to $5.5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31" w:lineRule="exact"/>
        <w:rPr>
          <w:sz w:val="20"/>
          <w:szCs w:val="20"/>
          <w:color w:val="auto"/>
        </w:rPr>
      </w:pPr>
    </w:p>
    <w:p>
      <w:pPr>
        <w:ind w:right="40"/>
        <w:spacing w:after="0" w:line="333" w:lineRule="auto"/>
        <w:rPr>
          <w:sz w:val="20"/>
          <w:szCs w:val="20"/>
          <w:color w:val="auto"/>
        </w:rPr>
      </w:pPr>
      <w:r>
        <w:rPr>
          <w:rFonts w:ascii="Arial" w:cs="Arial" w:eastAsia="Arial" w:hAnsi="Arial"/>
          <w:sz w:val="16"/>
          <w:szCs w:val="16"/>
          <w:color w:val="auto"/>
        </w:rPr>
        <w:t>The Company will host a conference call today, Wednesday, October 25, at 11:00 a.m. Eastern Time, to further review the Company’s fiscal Q3 results. A replay of the webcast will be available until November 8</w:t>
      </w:r>
      <w:r>
        <w:rPr>
          <w:rFonts w:ascii="Arial" w:cs="Arial" w:eastAsia="Arial" w:hAnsi="Arial"/>
          <w:sz w:val="26"/>
          <w:szCs w:val="26"/>
          <w:color w:val="auto"/>
          <w:vertAlign w:val="superscript"/>
        </w:rPr>
        <w:t>th</w:t>
      </w:r>
      <w:r>
        <w:rPr>
          <w:rFonts w:ascii="Arial" w:cs="Arial" w:eastAsia="Arial" w:hAnsi="Arial"/>
          <w:sz w:val="16"/>
          <w:szCs w:val="16"/>
          <w:color w:val="auto"/>
        </w:rPr>
        <w:t>. Investors may access the live broadcast and replay through our web site: www.activepower.com.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23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Active Power, Inc. (www.activepower.com) designs, manufactures and markets environmentally friendly power quality solutions that provide the consistent, reliable electric power required during utility disturbances. An ISO 9001-certified company, we believe that Active Power was the first to commercialize a</w:t>
      </w:r>
    </w:p>
    <w:p>
      <w:pPr>
        <w:spacing w:after="0" w:line="221" w:lineRule="auto"/>
        <w:rPr>
          <w:sz w:val="20"/>
          <w:szCs w:val="20"/>
          <w:color w:val="auto"/>
        </w:rPr>
      </w:pPr>
      <w:r>
        <w:rPr>
          <w:rFonts w:ascii="Arial" w:cs="Arial" w:eastAsia="Arial" w:hAnsi="Arial"/>
          <w:sz w:val="18"/>
          <w:szCs w:val="18"/>
          <w:color w:val="auto"/>
        </w:rPr>
        <w:t>flywheel energy storage system, CleanSource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that provides a highly reliable, low-cost and non-toxic energy storage solution for use in conventional power quality installations. Active Power has also recently developed a new extended runtime product line (CoolAir™) based on its proprietary thermal and compressed air storage technology.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dependence on our relationship with Caterpillar</w:t>
      </w:r>
      <w:r>
        <w:rPr>
          <w:rFonts w:ascii="Arial" w:cs="Arial" w:eastAsia="Arial" w:hAnsi="Arial"/>
          <w:sz w:val="28"/>
          <w:szCs w:val="28"/>
          <w:color w:val="auto"/>
          <w:vertAlign w:val="superscript"/>
        </w:rPr>
        <w:t>®</w:t>
      </w:r>
      <w:r>
        <w:rPr>
          <w:rFonts w:ascii="Arial" w:cs="Arial" w:eastAsia="Arial" w:hAnsi="Arial"/>
          <w:sz w:val="17"/>
          <w:szCs w:val="17"/>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20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John Penver, Investors, 512.744.9234, jpenver@activepower.com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Alan Polasek, Media, 512.327.2195, apolasek@bernardgroup.com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Three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Nine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Months Ended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ind w:right="35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revenue</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4,823</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14,702</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Service and spares revenue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5,728</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4,131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3,984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14,289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Cost of service and spares revenue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1,829</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 of revenue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Gross profit (loss)</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911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1,992</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2,793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6,256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Selling and marketing</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420"/>
              <w:spacing w:after="0"/>
              <w:rPr>
                <w:sz w:val="20"/>
                <w:szCs w:val="20"/>
                <w:color w:val="auto"/>
              </w:rPr>
            </w:pPr>
            <w:r>
              <w:rPr>
                <w:rFonts w:ascii="Arial" w:cs="Arial" w:eastAsia="Arial" w:hAnsi="Arial"/>
                <w:sz w:val="14"/>
                <w:szCs w:val="14"/>
                <w:color w:val="auto"/>
              </w:rPr>
              <w:t>General &amp; administrative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6,120</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19,006</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(5,209)</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(5,674)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(18,361)</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1,122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due to change in market value of investment rights</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Other income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(4,857)</w:t>
            </w: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(5,188)</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(16,901)</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basic &amp; diluted</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(0.11)</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(0.34)</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Shares used in computing net loss per share, basic &amp; diluted</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49,796</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48,693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49,544</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47,810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(4,857)</w:t>
            </w:r>
          </w:p>
        </w:tc>
        <w:tc>
          <w:tcPr>
            <w:tcW w:w="34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(5,188)</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(16,901)</w:t>
            </w: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gain subsidiaries in foreign currencies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(loss) on investments in marketable securities</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loss on investments in marketable securities</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loss</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(4,778)</w:t>
            </w: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(5,152)</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(16,803)</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-1390650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-1390650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-1390650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-1390650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-1390650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-1390650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-1390650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-1390650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-1390650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-1390650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-1390650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-1390650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-327025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-327025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-327025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-327025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-327025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-327025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-327025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-327025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-327025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-327025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-327025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-327025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investments in marketable securities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3,805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5,769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tcPr>
          <w:p>
            <w:pPr>
              <w:ind w:left="420"/>
              <w:spacing w:after="0"/>
              <w:rPr>
                <w:sz w:val="20"/>
                <w:szCs w:val="20"/>
                <w:color w:val="auto"/>
              </w:rPr>
            </w:pPr>
            <w:r>
              <w:rPr>
                <w:rFonts w:ascii="Arial" w:cs="Arial" w:eastAsia="Arial" w:hAnsi="Arial"/>
                <w:sz w:val="14"/>
                <w:szCs w:val="14"/>
                <w:color w:val="auto"/>
              </w:rPr>
              <w:t>Prepaid expenses and other</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39,722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7,720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 in marketable securities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tcPr>
          <w:p>
            <w:pPr>
              <w:spacing w:after="0"/>
              <w:rPr>
                <w:sz w:val="20"/>
                <w:szCs w:val="20"/>
                <w:color w:val="auto"/>
              </w:rPr>
            </w:pPr>
            <w:r>
              <w:rPr>
                <w:rFonts w:ascii="Arial" w:cs="Arial" w:eastAsia="Arial" w:hAnsi="Arial"/>
                <w:sz w:val="14"/>
                <w:szCs w:val="14"/>
                <w:color w:val="auto"/>
              </w:rPr>
              <w:t>Deposits and other</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4,075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2"/>
                <w:szCs w:val="12"/>
                <w:color w:val="auto"/>
              </w:rPr>
            </w:pP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stock compensation</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239,959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235,147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(197,590)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(180,689)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tcPr>
          <w:p>
            <w:pPr>
              <w:ind w:left="420"/>
              <w:spacing w:after="0"/>
              <w:rPr>
                <w:sz w:val="20"/>
                <w:szCs w:val="20"/>
                <w:color w:val="auto"/>
              </w:rPr>
            </w:pPr>
            <w:r>
              <w:rPr>
                <w:rFonts w:ascii="Arial" w:cs="Arial" w:eastAsia="Arial" w:hAnsi="Arial"/>
                <w:sz w:val="14"/>
                <w:szCs w:val="14"/>
                <w:color w:val="auto"/>
              </w:rPr>
              <w:t>Other accumulated comprehensive income</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42,418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-2044700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-2044700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-2044700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-2044700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-2044700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-2044700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5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2019-12-14T18:22:06Z</dcterms:created>
  <dcterms:modified xsi:type="dcterms:W3CDTF">2019-12-14T18:22:06Z</dcterms:modified>
</cp:coreProperties>
</file>