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7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Jensen Richard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03/08/2024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Head of Strategy and M&amp;A</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14,393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03/08/2024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14,393</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14,393</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the reporting person was granted a total of 14,393 RSUs, all of which will vest on the first anniversary of the grant date, provided that the reporting person remains in continuous service with the Issuer through such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Richard J.  03/12/2024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Jensen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83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8252"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2024-03-12T21:00:48Z</dcterms:created>
  <dcterms:modified xsi:type="dcterms:W3CDTF">2024-03-12T21:00:48Z</dcterms:modified>
</cp:coreProperties>
</file>