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205105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1040" w:right="3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27, 2007, the Compensation Committee (the “</w:t>
      </w:r>
      <w:r>
        <w:rPr>
          <w:rFonts w:ascii="Arial" w:cs="Arial" w:eastAsia="Arial" w:hAnsi="Arial"/>
          <w:sz w:val="16"/>
          <w:szCs w:val="16"/>
          <w:b w:val="1"/>
          <w:bCs w:val="1"/>
          <w:color w:val="auto"/>
        </w:rPr>
        <w:t>Committee</w:t>
      </w:r>
      <w:r>
        <w:rPr>
          <w:rFonts w:ascii="Arial" w:cs="Arial" w:eastAsia="Arial" w:hAnsi="Arial"/>
          <w:sz w:val="16"/>
          <w:szCs w:val="16"/>
          <w:color w:val="auto"/>
        </w:rPr>
        <w:t>”) of the Board of Directors of Active Power, Inc. (the “</w:t>
      </w:r>
      <w:r>
        <w:rPr>
          <w:rFonts w:ascii="Arial" w:cs="Arial" w:eastAsia="Arial" w:hAnsi="Arial"/>
          <w:sz w:val="16"/>
          <w:szCs w:val="16"/>
          <w:b w:val="1"/>
          <w:bCs w:val="1"/>
          <w:color w:val="auto"/>
        </w:rPr>
        <w:t>Company</w:t>
      </w:r>
      <w:r>
        <w:rPr>
          <w:rFonts w:ascii="Arial" w:cs="Arial" w:eastAsia="Arial" w:hAnsi="Arial"/>
          <w:sz w:val="16"/>
          <w:szCs w:val="16"/>
          <w:color w:val="auto"/>
        </w:rPr>
        <w:t>”) approved the amendment of certain unexercised stock options (the “</w:t>
      </w:r>
      <w:r>
        <w:rPr>
          <w:rFonts w:ascii="Arial" w:cs="Arial" w:eastAsia="Arial" w:hAnsi="Arial"/>
          <w:sz w:val="16"/>
          <w:szCs w:val="16"/>
          <w:b w:val="1"/>
          <w:bCs w:val="1"/>
          <w:color w:val="auto"/>
        </w:rPr>
        <w:t>Eligible Options</w:t>
      </w:r>
      <w:r>
        <w:rPr>
          <w:rFonts w:ascii="Arial" w:cs="Arial" w:eastAsia="Arial" w:hAnsi="Arial"/>
          <w:sz w:val="16"/>
          <w:szCs w:val="16"/>
          <w:color w:val="auto"/>
        </w:rPr>
        <w:t>”) held by certain executive officers of the Company (together, the “</w:t>
      </w:r>
      <w:r>
        <w:rPr>
          <w:rFonts w:ascii="Arial" w:cs="Arial" w:eastAsia="Arial" w:hAnsi="Arial"/>
          <w:sz w:val="16"/>
          <w:szCs w:val="16"/>
          <w:b w:val="1"/>
          <w:bCs w:val="1"/>
          <w:color w:val="auto"/>
        </w:rPr>
        <w:t>Eligible</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Executives</w:t>
      </w:r>
      <w:r>
        <w:rPr>
          <w:rFonts w:ascii="Arial" w:cs="Arial" w:eastAsia="Arial" w:hAnsi="Arial"/>
          <w:sz w:val="16"/>
          <w:szCs w:val="16"/>
          <w:color w:val="auto"/>
        </w:rPr>
        <w:t>”), that had original exercise prices per share that were less than the fair market value per share of the Company’s common stock on the option’s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grant, as determined by the Company for financial accounting purposes. The amendments would increase the exercise price for the unexercised portion of the Eligible Options to the appropriate fair market value per share on the date of grant. The purpose of these amendments is to avoid unfavorable tax consequences for the optionholders under United States Internal Revenue Code Section 409A (“</w:t>
      </w:r>
      <w:r>
        <w:rPr>
          <w:rFonts w:ascii="Arial" w:cs="Arial" w:eastAsia="Arial" w:hAnsi="Arial"/>
          <w:sz w:val="16"/>
          <w:szCs w:val="16"/>
          <w:b w:val="1"/>
          <w:bCs w:val="1"/>
          <w:color w:val="auto"/>
        </w:rPr>
        <w:t>Section 409A</w:t>
      </w:r>
      <w:r>
        <w:rPr>
          <w:rFonts w:ascii="Arial" w:cs="Arial" w:eastAsia="Arial" w:hAnsi="Arial"/>
          <w:sz w:val="16"/>
          <w:szCs w:val="16"/>
          <w:color w:val="auto"/>
        </w:rPr>
        <w:t>”) which would result upon the vesting of any of the Eligible Options that had an exercise price that is less than fair market value of the underlying common stock on the option’s date of grant.</w:t>
      </w:r>
    </w:p>
    <w:p>
      <w:pPr>
        <w:spacing w:after="0" w:line="11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aggregate number of shares of common stock underlying Eligible Options is 347,593, including 125,000 shares subject to Eligible Options held by James Clishem, the Company’s principal executive officer, and 75,000 shares held by Lisa Brown, a named executive officer of the Company. The exercise price for Mr. Clishem’s options were increased by $0.08 per share, and the exercise price for Ms. Brown’s options were increased by $0.14. Other than James Clishem and Lisa Brown, no options held by the Company’s principal executive officer, principal financial officer or any named executive officers are being amended.</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exchange for the Eligible Executives agreeing to the increase in the exercise price of their Eligible Options, to the extent such exercise price is less than $2.50 per share, the Company will make a cash payment, less applicable tax withholding, to the Eligible Executives in an amount equal to the incremental per share exercise price increase multiplied by the corresponding number of shares subject to the affected options. In order to satisfy the provisions of Section 409A, these payments will be made in January 2008. The aggregate payments to be made pursuant to the amendments are approximately $4,467.70. No cash payments will be made to the Company’s principal executive officer, principal financial officer or any named executive officers.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form of option amendment agreements to be entered into between the Company and each of the Eligible Executives is attached to this report as Exhibits 99.1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99.1 Form of Option Agreement Amendment</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28, 2007</w:t>
      </w:r>
      <w:r>
        <w:rPr>
          <w:sz w:val="20"/>
          <w:szCs w:val="20"/>
          <w:color w:val="auto"/>
        </w:rPr>
        <w:tab/>
      </w:r>
      <w:r>
        <w:rPr>
          <w:rFonts w:ascii="Arial" w:cs="Arial" w:eastAsia="Arial" w:hAnsi="Arial"/>
          <w:sz w:val="16"/>
          <w:szCs w:val="16"/>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8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Option Agreement Amendment</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w w:val="87"/>
              </w:rPr>
              <w:t>Exhibit 99.1</w:t>
            </w:r>
          </w:p>
        </w:tc>
      </w:tr>
      <w:tr>
        <w:trPr>
          <w:trHeight w:val="378"/>
        </w:trPr>
        <w:tc>
          <w:tcPr>
            <w:tcW w:w="9820" w:type="dxa"/>
            <w:vAlign w:val="bottom"/>
            <w:gridSpan w:val="2"/>
          </w:tcPr>
          <w:p>
            <w:pPr>
              <w:ind w:left="4800"/>
              <w:spacing w:after="0"/>
              <w:rPr>
                <w:sz w:val="20"/>
                <w:szCs w:val="20"/>
                <w:color w:val="auto"/>
              </w:rPr>
            </w:pPr>
            <w:r>
              <w:rPr>
                <w:rFonts w:ascii="Arial" w:cs="Arial" w:eastAsia="Arial" w:hAnsi="Arial"/>
                <w:sz w:val="18"/>
                <w:szCs w:val="18"/>
                <w:b w:val="1"/>
                <w:bCs w:val="1"/>
                <w:color w:val="auto"/>
              </w:rPr>
              <w:t>ACTIVE POWER, INC.</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9820" w:type="dxa"/>
            <w:vAlign w:val="bottom"/>
            <w:gridSpan w:val="2"/>
          </w:tcPr>
          <w:p>
            <w:pPr>
              <w:ind w:left="4600"/>
              <w:spacing w:after="0"/>
              <w:rPr>
                <w:sz w:val="20"/>
                <w:szCs w:val="20"/>
                <w:color w:val="auto"/>
              </w:rPr>
            </w:pPr>
            <w:r>
              <w:rPr>
                <w:rFonts w:ascii="Arial" w:cs="Arial" w:eastAsia="Arial" w:hAnsi="Arial"/>
                <w:sz w:val="18"/>
                <w:szCs w:val="18"/>
                <w:b w:val="1"/>
                <w:bCs w:val="1"/>
                <w:color w:val="auto"/>
              </w:rPr>
              <w:t>Amendment of Stock Options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0"/>
        </w:trPr>
        <w:tc>
          <w:tcPr>
            <w:tcW w:w="9820" w:type="dxa"/>
            <w:vAlign w:val="bottom"/>
            <w:gridSpan w:val="2"/>
          </w:tcPr>
          <w:p>
            <w:pPr>
              <w:ind w:left="460"/>
              <w:spacing w:after="0"/>
              <w:rPr>
                <w:sz w:val="20"/>
                <w:szCs w:val="20"/>
                <w:color w:val="auto"/>
              </w:rPr>
            </w:pPr>
            <w:r>
              <w:rPr>
                <w:rFonts w:ascii="Arial" w:cs="Arial" w:eastAsia="Arial" w:hAnsi="Arial"/>
                <w:sz w:val="18"/>
                <w:szCs w:val="18"/>
                <w:color w:val="auto"/>
                <w:w w:val="88"/>
              </w:rPr>
              <w:t>By electing to amend your discount options, the outstanding Stock Option Agreements (the “</w:t>
            </w:r>
            <w:r>
              <w:rPr>
                <w:rFonts w:ascii="Arial" w:cs="Arial" w:eastAsia="Arial" w:hAnsi="Arial"/>
                <w:sz w:val="18"/>
                <w:szCs w:val="18"/>
                <w:b w:val="1"/>
                <w:bCs w:val="1"/>
                <w:color w:val="auto"/>
                <w:w w:val="88"/>
              </w:rPr>
              <w:t>Agreements</w:t>
            </w:r>
            <w:r>
              <w:rPr>
                <w:rFonts w:ascii="Arial" w:cs="Arial" w:eastAsia="Arial" w:hAnsi="Arial"/>
                <w:sz w:val="18"/>
                <w:szCs w:val="18"/>
                <w:color w:val="auto"/>
                <w:w w:val="88"/>
              </w:rPr>
              <w:t>”) related to grants number</w:t>
            </w:r>
          </w:p>
        </w:tc>
        <w:tc>
          <w:tcPr>
            <w:tcW w:w="540" w:type="dxa"/>
            <w:vAlign w:val="bottom"/>
            <w:tcBorders>
              <w:bottom w:val="single" w:sz="8" w:color="auto"/>
            </w:tcBorders>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and</w:t>
            </w: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8600" w:type="dxa"/>
            <w:vAlign w:val="bottom"/>
          </w:tcPr>
          <w:p>
            <w:pPr>
              <w:spacing w:after="0" w:line="196" w:lineRule="exact"/>
              <w:rPr>
                <w:sz w:val="20"/>
                <w:szCs w:val="20"/>
                <w:color w:val="auto"/>
              </w:rPr>
            </w:pPr>
            <w:r>
              <w:rPr>
                <w:rFonts w:ascii="Arial" w:cs="Arial" w:eastAsia="Arial" w:hAnsi="Arial"/>
                <w:sz w:val="18"/>
                <w:szCs w:val="18"/>
                <w:color w:val="auto"/>
                <w:w w:val="89"/>
              </w:rPr>
              <w:t>under the Active Power, Inc. (the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2000 Stock Incentive Plan (the “</w:t>
            </w:r>
            <w:r>
              <w:rPr>
                <w:rFonts w:ascii="Arial" w:cs="Arial" w:eastAsia="Arial" w:hAnsi="Arial"/>
                <w:sz w:val="18"/>
                <w:szCs w:val="18"/>
                <w:b w:val="1"/>
                <w:bCs w:val="1"/>
                <w:color w:val="auto"/>
                <w:w w:val="89"/>
              </w:rPr>
              <w:t>Plan</w:t>
            </w:r>
            <w:r>
              <w:rPr>
                <w:rFonts w:ascii="Arial" w:cs="Arial" w:eastAsia="Arial" w:hAnsi="Arial"/>
                <w:sz w:val="18"/>
                <w:szCs w:val="18"/>
                <w:color w:val="auto"/>
                <w:w w:val="89"/>
              </w:rPr>
              <w:t>”) by and between the Company and</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Optionee</w:t>
            </w:r>
            <w:r>
              <w:rPr>
                <w:rFonts w:ascii="Arial" w:cs="Arial" w:eastAsia="Arial" w:hAnsi="Arial"/>
                <w:sz w:val="18"/>
                <w:szCs w:val="18"/>
                <w:color w:val="auto"/>
                <w:w w:val="98"/>
              </w:rPr>
              <w:t>”)</w:t>
            </w:r>
          </w:p>
        </w:tc>
      </w:tr>
      <w:tr>
        <w:trPr>
          <w:trHeight w:val="235"/>
        </w:trPr>
        <w:tc>
          <w:tcPr>
            <w:tcW w:w="9820" w:type="dxa"/>
            <w:vAlign w:val="bottom"/>
            <w:gridSpan w:val="2"/>
          </w:tcPr>
          <w:p>
            <w:pPr>
              <w:spacing w:after="0"/>
              <w:rPr>
                <w:sz w:val="20"/>
                <w:szCs w:val="20"/>
                <w:color w:val="auto"/>
              </w:rPr>
            </w:pPr>
            <w:r>
              <w:rPr>
                <w:rFonts w:ascii="Arial" w:cs="Arial" w:eastAsia="Arial" w:hAnsi="Arial"/>
                <w:sz w:val="18"/>
                <w:szCs w:val="18"/>
                <w:color w:val="auto"/>
              </w:rPr>
              <w:t>are hereby amended as follows: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7"/>
        </w:trPr>
        <w:tc>
          <w:tcPr>
            <w:tcW w:w="9820" w:type="dxa"/>
            <w:vAlign w:val="bottom"/>
            <w:gridSpan w:val="2"/>
          </w:tcPr>
          <w:p>
            <w:pPr>
              <w:ind w:left="460"/>
              <w:spacing w:after="0"/>
              <w:rPr>
                <w:sz w:val="20"/>
                <w:szCs w:val="20"/>
                <w:color w:val="auto"/>
              </w:rPr>
            </w:pPr>
            <w:r>
              <w:rPr>
                <w:rFonts w:ascii="Arial" w:cs="Arial" w:eastAsia="Arial" w:hAnsi="Arial"/>
                <w:sz w:val="18"/>
                <w:szCs w:val="18"/>
                <w:color w:val="auto"/>
              </w:rPr>
              <w:t>Unless otherwise defined herein, initially capitalized terms shall have the same meanings as defined in the Plan.</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50" w:lineRule="exact"/>
        <w:rPr>
          <w:sz w:val="20"/>
          <w:szCs w:val="20"/>
          <w:color w:val="auto"/>
        </w:rPr>
      </w:pPr>
    </w:p>
    <w:p>
      <w:pPr>
        <w:ind w:right="320" w:firstLine="464"/>
        <w:spacing w:after="0" w:line="275"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of Stock Options and Election to Amend Stock Options (“</w:t>
      </w:r>
      <w:r>
        <w:rPr>
          <w:rFonts w:ascii="Arial" w:cs="Arial" w:eastAsia="Arial" w:hAnsi="Arial"/>
          <w:sz w:val="18"/>
          <w:szCs w:val="18"/>
          <w:b w:val="1"/>
          <w:bCs w:val="1"/>
          <w:color w:val="auto"/>
        </w:rPr>
        <w:t>Amendment</w:t>
      </w:r>
      <w:r>
        <w:rPr>
          <w:rFonts w:ascii="Arial" w:cs="Arial" w:eastAsia="Arial" w:hAnsi="Arial"/>
          <w:sz w:val="18"/>
          <w:szCs w:val="18"/>
          <w:color w:val="auto"/>
        </w:rPr>
        <w:t>”) is effective as of December 28, 2007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 to Exercise Price Per Share</w:t>
      </w:r>
      <w:r>
        <w:rPr>
          <w:rFonts w:ascii="Arial" w:cs="Arial" w:eastAsia="Arial" w:hAnsi="Arial"/>
          <w:sz w:val="18"/>
          <w:szCs w:val="18"/>
          <w:color w:val="auto"/>
        </w:rPr>
        <w:t>.</w:t>
      </w:r>
    </w:p>
    <w:p>
      <w:pPr>
        <w:spacing w:after="0" w:line="6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5920" w:type="dxa"/>
            <w:vAlign w:val="bottom"/>
            <w:gridSpan w:val="5"/>
          </w:tcPr>
          <w:p>
            <w:pPr>
              <w:ind w:left="180"/>
              <w:spacing w:after="0"/>
              <w:rPr>
                <w:sz w:val="20"/>
                <w:szCs w:val="20"/>
                <w:color w:val="auto"/>
              </w:rPr>
            </w:pPr>
            <w:r>
              <w:rPr>
                <w:rFonts w:ascii="Arial" w:cs="Arial" w:eastAsia="Arial" w:hAnsi="Arial"/>
                <w:sz w:val="18"/>
                <w:szCs w:val="18"/>
                <w:color w:val="auto"/>
                <w:w w:val="88"/>
              </w:rPr>
              <w:t>The exercise price of the options which vest January 1, 2005 or later, to purchase</w:t>
            </w:r>
          </w:p>
        </w:tc>
        <w:tc>
          <w:tcPr>
            <w:tcW w:w="520" w:type="dxa"/>
            <w:vAlign w:val="bottom"/>
            <w:tcBorders>
              <w:bottom w:val="single" w:sz="8" w:color="auto"/>
            </w:tcBorders>
          </w:tcPr>
          <w:p>
            <w:pPr>
              <w:spacing w:after="0"/>
              <w:rPr>
                <w:sz w:val="17"/>
                <w:szCs w:val="17"/>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87"/>
              </w:rPr>
              <w:t>shares of Company common stock under grant</w:t>
            </w:r>
          </w:p>
        </w:tc>
      </w:tr>
      <w:tr>
        <w:trPr>
          <w:trHeight w:val="196"/>
        </w:trPr>
        <w:tc>
          <w:tcPr>
            <w:tcW w:w="380" w:type="dxa"/>
            <w:vAlign w:val="bottom"/>
          </w:tcPr>
          <w:p>
            <w:pPr>
              <w:spacing w:after="0"/>
              <w:rPr>
                <w:sz w:val="17"/>
                <w:szCs w:val="17"/>
                <w:color w:val="auto"/>
              </w:rPr>
            </w:pPr>
          </w:p>
        </w:tc>
        <w:tc>
          <w:tcPr>
            <w:tcW w:w="760" w:type="dxa"/>
            <w:vAlign w:val="bottom"/>
          </w:tcPr>
          <w:p>
            <w:pPr>
              <w:ind w:left="180"/>
              <w:spacing w:after="0" w:line="196" w:lineRule="exact"/>
              <w:rPr>
                <w:sz w:val="20"/>
                <w:szCs w:val="20"/>
                <w:color w:val="auto"/>
              </w:rPr>
            </w:pPr>
            <w:r>
              <w:rPr>
                <w:rFonts w:ascii="Arial" w:cs="Arial" w:eastAsia="Arial" w:hAnsi="Arial"/>
                <w:sz w:val="18"/>
                <w:szCs w:val="18"/>
                <w:color w:val="auto"/>
                <w:w w:val="91"/>
              </w:rPr>
              <w:t>number</w:t>
            </w:r>
          </w:p>
        </w:tc>
        <w:tc>
          <w:tcPr>
            <w:tcW w:w="520" w:type="dxa"/>
            <w:vAlign w:val="bottom"/>
          </w:tcPr>
          <w:p>
            <w:pPr>
              <w:spacing w:after="0"/>
              <w:rPr>
                <w:sz w:val="17"/>
                <w:szCs w:val="17"/>
                <w:color w:val="auto"/>
              </w:rPr>
            </w:pPr>
          </w:p>
        </w:tc>
        <w:tc>
          <w:tcPr>
            <w:tcW w:w="23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are hereby increased to $</w:t>
            </w:r>
          </w:p>
        </w:tc>
        <w:tc>
          <w:tcPr>
            <w:tcW w:w="2300" w:type="dxa"/>
            <w:vAlign w:val="bottom"/>
          </w:tcPr>
          <w:p>
            <w:pPr>
              <w:ind w:left="40"/>
              <w:spacing w:after="0" w:line="196" w:lineRule="exact"/>
              <w:rPr>
                <w:sz w:val="20"/>
                <w:szCs w:val="20"/>
                <w:color w:val="auto"/>
              </w:rPr>
            </w:pPr>
            <w:r>
              <w:rPr>
                <w:rFonts w:ascii="Arial" w:cs="Arial" w:eastAsia="Arial" w:hAnsi="Arial"/>
                <w:sz w:val="18"/>
                <w:szCs w:val="18"/>
                <w:color w:val="auto"/>
              </w:rPr>
              <w:t>per share; and</w:t>
            </w: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5920" w:type="dxa"/>
            <w:vAlign w:val="bottom"/>
            <w:gridSpan w:val="5"/>
          </w:tcPr>
          <w:p>
            <w:pPr>
              <w:ind w:left="180"/>
              <w:spacing w:after="0"/>
              <w:rPr>
                <w:sz w:val="20"/>
                <w:szCs w:val="20"/>
                <w:color w:val="auto"/>
              </w:rPr>
            </w:pPr>
            <w:r>
              <w:rPr>
                <w:rFonts w:ascii="Arial" w:cs="Arial" w:eastAsia="Arial" w:hAnsi="Arial"/>
                <w:sz w:val="18"/>
                <w:szCs w:val="18"/>
                <w:color w:val="auto"/>
                <w:w w:val="88"/>
              </w:rPr>
              <w:t>The exercise price of the options which vest January 1, 2005 or later, to purchase</w:t>
            </w:r>
          </w:p>
        </w:tc>
        <w:tc>
          <w:tcPr>
            <w:tcW w:w="520" w:type="dxa"/>
            <w:vAlign w:val="bottom"/>
            <w:tcBorders>
              <w:bottom w:val="single" w:sz="8" w:color="auto"/>
            </w:tcBorders>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87"/>
              </w:rPr>
              <w:t>shares of Company common stock under grant</w:t>
            </w:r>
          </w:p>
        </w:tc>
      </w:tr>
      <w:tr>
        <w:trPr>
          <w:trHeight w:val="196"/>
        </w:trPr>
        <w:tc>
          <w:tcPr>
            <w:tcW w:w="380" w:type="dxa"/>
            <w:vAlign w:val="bottom"/>
          </w:tcPr>
          <w:p>
            <w:pPr>
              <w:spacing w:after="0"/>
              <w:rPr>
                <w:sz w:val="17"/>
                <w:szCs w:val="17"/>
                <w:color w:val="auto"/>
              </w:rPr>
            </w:pPr>
          </w:p>
        </w:tc>
        <w:tc>
          <w:tcPr>
            <w:tcW w:w="760" w:type="dxa"/>
            <w:vAlign w:val="bottom"/>
          </w:tcPr>
          <w:p>
            <w:pPr>
              <w:ind w:left="180"/>
              <w:spacing w:after="0" w:line="196" w:lineRule="exact"/>
              <w:rPr>
                <w:sz w:val="20"/>
                <w:szCs w:val="20"/>
                <w:color w:val="auto"/>
              </w:rPr>
            </w:pPr>
            <w:r>
              <w:rPr>
                <w:rFonts w:ascii="Arial" w:cs="Arial" w:eastAsia="Arial" w:hAnsi="Arial"/>
                <w:sz w:val="18"/>
                <w:szCs w:val="18"/>
                <w:color w:val="auto"/>
                <w:w w:val="91"/>
              </w:rPr>
              <w:t>number</w:t>
            </w:r>
          </w:p>
        </w:tc>
        <w:tc>
          <w:tcPr>
            <w:tcW w:w="520" w:type="dxa"/>
            <w:vAlign w:val="bottom"/>
          </w:tcPr>
          <w:p>
            <w:pPr>
              <w:spacing w:after="0"/>
              <w:rPr>
                <w:sz w:val="17"/>
                <w:szCs w:val="17"/>
                <w:color w:val="auto"/>
              </w:rPr>
            </w:pPr>
          </w:p>
        </w:tc>
        <w:tc>
          <w:tcPr>
            <w:tcW w:w="23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are hereby increased to $</w:t>
            </w:r>
          </w:p>
        </w:tc>
        <w:tc>
          <w:tcPr>
            <w:tcW w:w="2300" w:type="dxa"/>
            <w:vAlign w:val="bottom"/>
          </w:tcPr>
          <w:p>
            <w:pPr>
              <w:ind w:left="40"/>
              <w:spacing w:after="0" w:line="196" w:lineRule="exact"/>
              <w:rPr>
                <w:sz w:val="20"/>
                <w:szCs w:val="20"/>
                <w:color w:val="auto"/>
              </w:rPr>
            </w:pPr>
            <w:r>
              <w:rPr>
                <w:rFonts w:ascii="Arial" w:cs="Arial" w:eastAsia="Arial" w:hAnsi="Arial"/>
                <w:sz w:val="18"/>
                <w:szCs w:val="18"/>
                <w:color w:val="auto"/>
              </w:rPr>
              <w:t>per share.</w:t>
            </w: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181"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Option Agreements</w:t>
      </w:r>
      <w:r>
        <w:rPr>
          <w:rFonts w:ascii="Arial" w:cs="Arial" w:eastAsia="Arial" w:hAnsi="Arial"/>
          <w:sz w:val="18"/>
          <w:szCs w:val="18"/>
          <w:color w:val="auto"/>
        </w:rPr>
        <w:t>. To the extent not expressly amended hereby, the Agreements remain in full force and effect.</w:t>
      </w:r>
    </w:p>
    <w:p>
      <w:pPr>
        <w:spacing w:after="0" w:line="171" w:lineRule="exact"/>
        <w:rPr>
          <w:rFonts w:ascii="Arial" w:cs="Arial" w:eastAsia="Arial" w:hAnsi="Arial"/>
          <w:sz w:val="18"/>
          <w:szCs w:val="18"/>
          <w:color w:val="auto"/>
        </w:rPr>
      </w:pPr>
    </w:p>
    <w:p>
      <w:pPr>
        <w:ind w:right="100" w:firstLine="464"/>
        <w:spacing w:after="0" w:line="298" w:lineRule="auto"/>
        <w:tabs>
          <w:tab w:leader="none" w:pos="63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taken together with the Agreements (to the extent not expressly amended hereby), and any duly authorized written or electronic agreement entered into by and between the Company and Optionee relating to the stock option grants evidenced by the Agreements, represent the entire agreement of the parties, supersede any and all previous contracts, arrangements or understandings between the parties with respect to the stock option grants evidenced by the Agreements, and may be amended at any time only by mutual written agreement of the parties hereto.</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This Amendment must be properly completed and signed by you and delivered to John Penver at Active Power, Inc. 2128 W. Braker Lane, BK 12, Austin, Texas, U.S.A.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instrument is effective as of the Effective Date.</w:t>
      </w:r>
    </w:p>
    <w:p>
      <w:pPr>
        <w:spacing w:after="0" w:line="206"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b w:val="1"/>
          <w:bCs w:val="1"/>
          <w:color w:val="auto"/>
        </w:rPr>
        <w:t>ACTIVE POWER, INC.</w:t>
      </w:r>
      <w:r>
        <w:rPr>
          <w:sz w:val="20"/>
          <w:szCs w:val="20"/>
          <w:color w:val="auto"/>
        </w:rPr>
        <w:tab/>
      </w: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907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907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422910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Residence Address</w:t>
      </w:r>
    </w:p>
    <w:p>
      <w:pPr>
        <w:spacing w:after="0" w:line="200" w:lineRule="exact"/>
        <w:rPr>
          <w:sz w:val="20"/>
          <w:szCs w:val="20"/>
          <w:color w:val="auto"/>
        </w:rPr>
      </w:pPr>
    </w:p>
    <w:p>
      <w:pPr>
        <w:sectPr>
          <w:pgSz w:w="11900" w:h="16838" w:orient="portrait"/>
          <w:cols w:equalWidth="0" w:num="2">
            <w:col w:w="6140" w:space="720"/>
            <w:col w:w="3359"/>
          </w:cols>
          <w:pgMar w:left="240" w:top="280" w:right="1440" w:bottom="1440" w:gutter="0" w:footer="0" w:header="0"/>
          <w:type w:val="continuous"/>
        </w:sectPr>
      </w:pPr>
    </w:p>
    <w:p>
      <w:pPr>
        <w:spacing w:after="0" w:line="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w:t>
      </w:r>
    </w:p>
    <w:sectPr>
      <w:pgSz w:w="11900" w:h="16838" w:orient="portrait"/>
      <w:cols w:equalWidth="0" w:num="1">
        <w:col w:w="10219"/>
      </w:cols>
      <w:pgMar w:left="240" w:top="28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2019-12-14T17:09:05Z</dcterms:created>
  <dcterms:modified xsi:type="dcterms:W3CDTF">2019-12-14T17:09:05Z</dcterms:modified>
</cp:coreProperties>
</file>