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04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048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Poston Edwin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34"/>
          <w:szCs w:val="34"/>
          <w:color w:val="0000FF"/>
          <w:vertAlign w:val="subscript"/>
        </w:rPr>
        <w:t>X</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63"/>
        <w:spacing w:after="0"/>
        <w:rPr>
          <w:sz w:val="20"/>
          <w:szCs w:val="20"/>
          <w:color w:val="auto"/>
        </w:rPr>
      </w:pPr>
      <w:r>
        <w:rPr>
          <w:rFonts w:ascii="Arial" w:cs="Arial" w:eastAsia="Arial" w:hAnsi="Arial"/>
          <w:sz w:val="18"/>
          <w:szCs w:val="18"/>
          <w:color w:val="0000FF"/>
        </w:rPr>
        <w:t>Member of 10% Owner Group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2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7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2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By MAW</w:t>
            </w:r>
          </w:p>
        </w:tc>
        <w:tc>
          <w:tcPr>
            <w:tcW w:w="0" w:type="dxa"/>
            <w:vAlign w:val="bottom"/>
          </w:tcPr>
          <w:p>
            <w:pPr>
              <w:spacing w:after="0"/>
              <w:rPr>
                <w:sz w:val="1"/>
                <w:szCs w:val="1"/>
                <w:color w:val="auto"/>
              </w:rPr>
            </w:pPr>
          </w:p>
        </w:tc>
      </w:tr>
      <w:tr>
        <w:trPr>
          <w:trHeight w:val="120"/>
        </w:trPr>
        <w:tc>
          <w:tcPr>
            <w:tcW w:w="2720" w:type="dxa"/>
            <w:vAlign w:val="bottom"/>
            <w:vMerge w:val="restart"/>
          </w:tcPr>
          <w:p>
            <w:pPr>
              <w:ind w:left="80"/>
              <w:spacing w:after="0" w:line="240" w:lineRule="exact"/>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94"/>
              </w:rPr>
              <w:t>(2)(3)</w:t>
            </w:r>
          </w:p>
        </w:tc>
        <w:tc>
          <w:tcPr>
            <w:tcW w:w="1660" w:type="dxa"/>
            <w:vAlign w:val="bottom"/>
            <w:vMerge w:val="continue"/>
          </w:tcPr>
          <w:p>
            <w:pPr>
              <w:spacing w:after="0"/>
              <w:rPr>
                <w:sz w:val="10"/>
                <w:szCs w:val="10"/>
                <w:color w:val="auto"/>
              </w:rPr>
            </w:pPr>
          </w:p>
        </w:tc>
        <w:tc>
          <w:tcPr>
            <w:tcW w:w="128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1"/>
              </w:rPr>
              <w:t>120,501</w:t>
            </w:r>
            <w:r>
              <w:rPr>
                <w:rFonts w:ascii="Arial" w:cs="Arial" w:eastAsia="Arial" w:hAnsi="Arial"/>
                <w:sz w:val="25"/>
                <w:szCs w:val="25"/>
                <w:color w:val="008000"/>
                <w:w w:val="81"/>
                <w:vertAlign w:val="superscript"/>
              </w:rPr>
              <w:t>(2)(3)</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(4)</w:t>
            </w: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Management</w:t>
            </w: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Co.</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7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94"/>
              </w:rPr>
              <w:t>(2)(3)</w:t>
            </w:r>
          </w:p>
        </w:tc>
        <w:tc>
          <w:tcPr>
            <w:tcW w:w="16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280" w:type="dxa"/>
            <w:vAlign w:val="bottom"/>
            <w:vMerge w:val="restart"/>
          </w:tcPr>
          <w:p>
            <w:pPr>
              <w:jc w:val="center"/>
              <w:spacing w:after="0"/>
              <w:rPr>
                <w:sz w:val="20"/>
                <w:szCs w:val="20"/>
                <w:color w:val="auto"/>
              </w:rPr>
            </w:pPr>
            <w:r>
              <w:rPr>
                <w:rFonts w:ascii="Arial" w:cs="Arial" w:eastAsia="Arial" w:hAnsi="Arial"/>
                <w:sz w:val="20"/>
                <w:szCs w:val="20"/>
                <w:color w:val="0000FF"/>
                <w:w w:val="83"/>
              </w:rPr>
              <w:t>9,856,769</w:t>
            </w:r>
            <w:r>
              <w:rPr>
                <w:rFonts w:ascii="Arial" w:cs="Arial" w:eastAsia="Arial" w:hAnsi="Arial"/>
                <w:sz w:val="25"/>
                <w:szCs w:val="25"/>
                <w:color w:val="008000"/>
                <w:w w:val="83"/>
                <w:vertAlign w:val="superscript"/>
              </w:rPr>
              <w:t>(2)(3)</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(5)</w:t>
            </w:r>
          </w:p>
        </w:tc>
        <w:tc>
          <w:tcPr>
            <w:tcW w:w="1460" w:type="dxa"/>
            <w:vAlign w:val="bottom"/>
          </w:tcPr>
          <w:p>
            <w:pPr>
              <w:ind w:left="60"/>
              <w:spacing w:after="0"/>
              <w:rPr>
                <w:sz w:val="20"/>
                <w:szCs w:val="20"/>
                <w:color w:val="auto"/>
              </w:rPr>
            </w:pPr>
            <w:r>
              <w:rPr>
                <w:rFonts w:ascii="Arial" w:cs="Arial" w:eastAsia="Arial" w:hAnsi="Arial"/>
                <w:sz w:val="20"/>
                <w:szCs w:val="20"/>
                <w:color w:val="0000FF"/>
              </w:rPr>
              <w:t>By TrueBridge</w:t>
            </w: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Colonial Fund</w:t>
            </w:r>
          </w:p>
        </w:tc>
        <w:tc>
          <w:tcPr>
            <w:tcW w:w="0" w:type="dxa"/>
            <w:vAlign w:val="bottom"/>
          </w:tcPr>
          <w:p>
            <w:pPr>
              <w:spacing w:after="0"/>
              <w:rPr>
                <w:sz w:val="1"/>
                <w:szCs w:val="1"/>
                <w:color w:val="auto"/>
              </w:rPr>
            </w:pPr>
          </w:p>
        </w:tc>
      </w:tr>
      <w:tr>
        <w:trPr>
          <w:trHeight w:val="58"/>
        </w:trPr>
        <w:tc>
          <w:tcPr>
            <w:tcW w:w="2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By Mel</w:t>
            </w:r>
          </w:p>
        </w:tc>
        <w:tc>
          <w:tcPr>
            <w:tcW w:w="0" w:type="dxa"/>
            <w:vAlign w:val="bottom"/>
          </w:tcPr>
          <w:p>
            <w:pPr>
              <w:spacing w:after="0"/>
              <w:rPr>
                <w:sz w:val="1"/>
                <w:szCs w:val="1"/>
                <w:color w:val="auto"/>
              </w:rPr>
            </w:pPr>
          </w:p>
        </w:tc>
      </w:tr>
      <w:tr>
        <w:trPr>
          <w:trHeight w:val="240"/>
        </w:trPr>
        <w:tc>
          <w:tcPr>
            <w:tcW w:w="27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94"/>
              </w:rPr>
              <w:t>(2)(3)</w:t>
            </w:r>
          </w:p>
        </w:tc>
        <w:tc>
          <w:tcPr>
            <w:tcW w:w="16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280" w:type="dxa"/>
            <w:vAlign w:val="bottom"/>
            <w:vMerge w:val="restart"/>
          </w:tcPr>
          <w:p>
            <w:pPr>
              <w:jc w:val="center"/>
              <w:spacing w:after="0"/>
              <w:rPr>
                <w:sz w:val="20"/>
                <w:szCs w:val="20"/>
                <w:color w:val="auto"/>
              </w:rPr>
            </w:pPr>
            <w:r>
              <w:rPr>
                <w:rFonts w:ascii="Arial" w:cs="Arial" w:eastAsia="Arial" w:hAnsi="Arial"/>
                <w:sz w:val="20"/>
                <w:szCs w:val="20"/>
                <w:color w:val="0000FF"/>
                <w:w w:val="83"/>
              </w:rPr>
              <w:t>9,886,319</w:t>
            </w:r>
            <w:r>
              <w:rPr>
                <w:rFonts w:ascii="Arial" w:cs="Arial" w:eastAsia="Arial" w:hAnsi="Arial"/>
                <w:sz w:val="25"/>
                <w:szCs w:val="25"/>
                <w:color w:val="008000"/>
                <w:w w:val="83"/>
                <w:vertAlign w:val="superscript"/>
              </w:rPr>
              <w:t>(2)(3)</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60"/>
              <w:spacing w:after="0" w:line="430" w:lineRule="exact"/>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(6)</w:t>
            </w:r>
          </w:p>
        </w:tc>
        <w:tc>
          <w:tcPr>
            <w:tcW w:w="1460" w:type="dxa"/>
            <w:vAlign w:val="bottom"/>
          </w:tcPr>
          <w:p>
            <w:pPr>
              <w:ind w:left="60"/>
              <w:spacing w:after="0"/>
              <w:rPr>
                <w:sz w:val="20"/>
                <w:szCs w:val="20"/>
                <w:color w:val="auto"/>
              </w:rPr>
            </w:pPr>
            <w:r>
              <w:rPr>
                <w:rFonts w:ascii="Arial" w:cs="Arial" w:eastAsia="Arial" w:hAnsi="Arial"/>
                <w:sz w:val="20"/>
                <w:szCs w:val="20"/>
                <w:color w:val="0000FF"/>
              </w:rPr>
              <w:t>Williams</w:t>
            </w: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Irrevocable</w:t>
            </w:r>
          </w:p>
        </w:tc>
        <w:tc>
          <w:tcPr>
            <w:tcW w:w="0" w:type="dxa"/>
            <w:vAlign w:val="bottom"/>
          </w:tcPr>
          <w:p>
            <w:pPr>
              <w:spacing w:after="0"/>
              <w:rPr>
                <w:sz w:val="1"/>
                <w:szCs w:val="1"/>
                <w:color w:val="auto"/>
              </w:rPr>
            </w:pPr>
          </w:p>
        </w:tc>
      </w:tr>
      <w:tr>
        <w:trPr>
          <w:trHeight w:val="50"/>
        </w:trPr>
        <w:tc>
          <w:tcPr>
            <w:tcW w:w="2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Trust</w:t>
            </w:r>
          </w:p>
        </w:tc>
        <w:tc>
          <w:tcPr>
            <w:tcW w:w="0" w:type="dxa"/>
            <w:vAlign w:val="bottom"/>
          </w:tcPr>
          <w:p>
            <w:pPr>
              <w:spacing w:after="0"/>
              <w:rPr>
                <w:sz w:val="1"/>
                <w:szCs w:val="1"/>
                <w:color w:val="auto"/>
              </w:rPr>
            </w:pPr>
          </w:p>
        </w:tc>
      </w:tr>
      <w:tr>
        <w:trPr>
          <w:trHeight w:val="72"/>
        </w:trPr>
        <w:tc>
          <w:tcPr>
            <w:tcW w:w="2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7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94"/>
              </w:rPr>
              <w:t>(2)(3)</w:t>
            </w:r>
          </w:p>
        </w:tc>
        <w:tc>
          <w:tcPr>
            <w:tcW w:w="16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280" w:type="dxa"/>
            <w:vAlign w:val="bottom"/>
            <w:vMerge w:val="restart"/>
          </w:tcPr>
          <w:p>
            <w:pPr>
              <w:jc w:val="center"/>
              <w:spacing w:after="0"/>
              <w:rPr>
                <w:sz w:val="20"/>
                <w:szCs w:val="20"/>
                <w:color w:val="auto"/>
              </w:rPr>
            </w:pPr>
            <w:r>
              <w:rPr>
                <w:rFonts w:ascii="Arial" w:cs="Arial" w:eastAsia="Arial" w:hAnsi="Arial"/>
                <w:sz w:val="20"/>
                <w:szCs w:val="20"/>
                <w:color w:val="0000FF"/>
                <w:w w:val="81"/>
              </w:rPr>
              <w:t>200,000</w:t>
            </w:r>
            <w:r>
              <w:rPr>
                <w:rFonts w:ascii="Arial" w:cs="Arial" w:eastAsia="Arial" w:hAnsi="Arial"/>
                <w:sz w:val="25"/>
                <w:szCs w:val="25"/>
                <w:color w:val="008000"/>
                <w:w w:val="81"/>
                <w:vertAlign w:val="superscript"/>
              </w:rPr>
              <w:t>(2)(3)</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(7)</w:t>
            </w:r>
          </w:p>
        </w:tc>
        <w:tc>
          <w:tcPr>
            <w:tcW w:w="1460" w:type="dxa"/>
            <w:vAlign w:val="bottom"/>
          </w:tcPr>
          <w:p>
            <w:pPr>
              <w:ind w:left="60"/>
              <w:spacing w:after="0"/>
              <w:rPr>
                <w:sz w:val="20"/>
                <w:szCs w:val="20"/>
                <w:color w:val="auto"/>
              </w:rPr>
            </w:pPr>
            <w:r>
              <w:rPr>
                <w:rFonts w:ascii="Arial" w:cs="Arial" w:eastAsia="Arial" w:hAnsi="Arial"/>
                <w:sz w:val="20"/>
                <w:szCs w:val="20"/>
                <w:color w:val="0000FF"/>
              </w:rPr>
              <w:t>By TrueBridge</w:t>
            </w: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Ascent LLC</w:t>
            </w:r>
          </w:p>
        </w:tc>
        <w:tc>
          <w:tcPr>
            <w:tcW w:w="0" w:type="dxa"/>
            <w:vAlign w:val="bottom"/>
          </w:tcPr>
          <w:p>
            <w:pPr>
              <w:spacing w:after="0"/>
              <w:rPr>
                <w:sz w:val="1"/>
                <w:szCs w:val="1"/>
                <w:color w:val="auto"/>
              </w:rPr>
            </w:pPr>
          </w:p>
        </w:tc>
      </w:tr>
      <w:tr>
        <w:trPr>
          <w:trHeight w:val="58"/>
        </w:trPr>
        <w:tc>
          <w:tcPr>
            <w:tcW w:w="2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Form 3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3 shall not be construed as an admission that the Reporting Persons are beneficial owners of the securities of the Issuer reported herein.</w:t>
      </w:r>
    </w:p>
    <w:p>
      <w:pPr>
        <w:spacing w:after="0" w:line="36"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Holders of Class B Common Stock may elect to convert such shares on a one-for-one basis into Class A Common Stock at any time. Upon any transfer, Class B Common Stock converts automatically on a one-for-one basis into shares of Class A Common Stock, except in the case of transfers to certain permitted transferees. After a Sunset (as defined below) becomes effective, each share of Class B Common Stock will automatically convert into Class A Common Stock.</w:t>
      </w:r>
    </w:p>
    <w:p>
      <w:pPr>
        <w:spacing w:after="0" w:line="35" w:lineRule="exact"/>
        <w:rPr>
          <w:rFonts w:ascii="Arial" w:cs="Arial" w:eastAsia="Arial" w:hAnsi="Arial"/>
          <w:sz w:val="15"/>
          <w:szCs w:val="15"/>
          <w:color w:val="008000"/>
        </w:rPr>
      </w:pPr>
    </w:p>
    <w:p>
      <w:pPr>
        <w:ind w:left="40" w:right="12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37"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MAW Management Co. ("MAW Management"). Mr. Williams, as the manager of MAW Management, may be deemed to beneficially own the shares of Class B Common Stock owned directly by MAW Management.</w:t>
      </w:r>
    </w:p>
    <w:p>
      <w:pPr>
        <w:spacing w:after="0" w:line="26"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the TrueBridge Colonial Fund (the "TrueBridge Fund"). First Republic Trust Company of Delaware, as trustee of the TrueBridge Fund, may be deemed to beneficially own the shares of Class B Common Stock owned directly by the TrueBridge Fund.</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the Mel Williams Irrevocable Trust (the "Mel Trust"). Alliance Trust Company, as trustee of the Mel Trust, may be deemed to beneficially own the shares of Class B Common Stock owned directly by the Mel Trust.</w:t>
      </w:r>
    </w:p>
    <w:p>
      <w:pPr>
        <w:spacing w:after="0" w:line="26" w:lineRule="exact"/>
        <w:rPr>
          <w:rFonts w:ascii="Arial" w:cs="Arial" w:eastAsia="Arial" w:hAnsi="Arial"/>
          <w:sz w:val="15"/>
          <w:szCs w:val="15"/>
          <w:color w:val="008000"/>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TrueBridge Ascent LLC ("TrueBridge Ascent"). Mr. Poston, as manager of TrueBridge LLC, may be deemed to beneficially own the shares of Class B Common Stock owned directly by TrueBridge LLC.</w:t>
      </w:r>
    </w:p>
    <w:p>
      <w:pPr>
        <w:sectPr>
          <w:pgSz w:w="11900" w:h="16838" w:orient="portrait"/>
          <w:cols w:equalWidth="0" w:num="1">
            <w:col w:w="10940"/>
          </w:cols>
          <w:pgMar w:left="480" w:top="236" w:right="47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/s/Edwin Poston,</w:t>
            </w:r>
          </w:p>
        </w:tc>
        <w:tc>
          <w:tcPr>
            <w:tcW w:w="86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9"/>
              </w:rPr>
              <w:t>individually and as</w:t>
            </w:r>
          </w:p>
        </w:tc>
        <w:tc>
          <w:tcPr>
            <w:tcW w:w="700" w:type="dxa"/>
            <w:vAlign w:val="bottom"/>
            <w:gridSpan w:val="3"/>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Arial" w:cs="Arial" w:eastAsia="Arial" w:hAnsi="Arial"/>
                <w:sz w:val="20"/>
                <w:szCs w:val="20"/>
                <w:color w:val="0000FF"/>
              </w:rPr>
              <w:t>Attorney-in-Fact for the</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88"/>
              </w:rPr>
              <w:t>other Reporting Person</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220" w:firstLine="720"/>
        <w:spacing w:after="0" w:line="284" w:lineRule="auto"/>
        <w:rPr>
          <w:sz w:val="20"/>
          <w:szCs w:val="20"/>
          <w:color w:val="auto"/>
        </w:rPr>
      </w:pPr>
      <w:r>
        <w:rPr>
          <w:rFonts w:ascii="Arial" w:cs="Arial" w:eastAsia="Arial" w:hAnsi="Arial"/>
          <w:sz w:val="19"/>
          <w:szCs w:val="19"/>
          <w:color w:val="auto"/>
        </w:rPr>
        <w:t>Know all by these presents, that, for good and valuable consideration, the sufficiency and receipt of which are hereby acknowledged, each of the undersigned hereby constitutes and appoints each of Robert Alpert, C. Clark Webb, Amanda Coussens and Edwin Poston, and any of their substitutes, signing singly, such undersigned’s true and lawful attorney-in-fact to:</w:t>
      </w:r>
    </w:p>
    <w:p>
      <w:pPr>
        <w:spacing w:after="0" w:line="185" w:lineRule="exact"/>
        <w:rPr>
          <w:sz w:val="20"/>
          <w:szCs w:val="20"/>
          <w:color w:val="auto"/>
        </w:rPr>
      </w:pPr>
    </w:p>
    <w:p>
      <w:pPr>
        <w:ind w:left="720" w:right="80" w:firstLine="721"/>
        <w:spacing w:after="0" w:line="259"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each undersigned (in accordance with Section 16(a) of the Securities Exchange Act of 1934, as amended, and the rules thereunder (the “Exchange Act”)), in such undersigned’s capacity, any and all Forms 3, 4 and/or 5, and any amendments thereto, that are necessary or advisable for such undersigned to file under Section 16(a) (collectively, “Documents”);</w:t>
      </w:r>
    </w:p>
    <w:p>
      <w:pPr>
        <w:spacing w:after="0" w:line="207" w:lineRule="exact"/>
        <w:rPr>
          <w:rFonts w:ascii="Arial" w:cs="Arial" w:eastAsia="Arial" w:hAnsi="Arial"/>
          <w:sz w:val="20"/>
          <w:szCs w:val="20"/>
          <w:color w:val="auto"/>
        </w:rPr>
      </w:pPr>
    </w:p>
    <w:p>
      <w:pPr>
        <w:jc w:val="both"/>
        <w:ind w:left="720" w:right="30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such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180" w:firstLine="721"/>
        <w:spacing w:after="0" w:line="257"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Each of the undersigned acknowledges that each attorney-in-fact, in serving in such capacity at the request of such undersigned, is not assuming, nor is such attorney-in-fact’s substitute or substitutes or P10, Inc., a Delaware corporation (the “Company”) assuming, any of such undersigned’s responsibilities to comply with the Exchange Act. Each of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3" w:name="page4"/>
    <w:bookmarkEnd w:id="3"/>
    <w:p>
      <w:pPr>
        <w:ind w:right="2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such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Edwin Poston</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Mel Williams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Mel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sectPr>
      <w:pgSz w:w="11900" w:h="16838" w:orient="portrait"/>
      <w:cols w:equalWidth="0" w:num="1">
        <w:col w:w="10820"/>
      </w:cols>
      <w:pgMar w:left="480" w:top="63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88753"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2021-10-20T20:24:44Z</dcterms:created>
  <dcterms:modified xsi:type="dcterms:W3CDTF">2021-10-20T20:24:44Z</dcterms:modified>
</cp:coreProperties>
</file>