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42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“large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760" w:space="720"/>
            <w:col w:w="20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sectPr>
          <w:pgSz w:w="11900" w:h="16838" w:orient="portrait"/>
          <w:cols w:equalWidth="0" w:num="3">
            <w:col w:w="8500" w:space="180"/>
            <w:col w:w="500" w:space="180"/>
            <w:col w:w="2060"/>
          </w:cols>
          <w:pgMar w:left="240" w:top="230" w:right="23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0"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The number of shares of common stock, par value of $0.001 per share, outstanding at July 24, 2009 was 66,458,311.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Condensed Consolidated Financial Statements.</w:t>
              </w:r>
            </w:hyperlink>
          </w:p>
        </w:tc>
        <w:tc>
          <w:tcPr>
            <w:tcW w:w="520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660" w:type="dxa"/>
            <w:vAlign w:val="bottom"/>
            <w:tcBorders>
              <w:bottom w:val="single" w:sz="8" w:color="0000EE"/>
            </w:tcBorders>
          </w:tcPr>
          <w:p>
            <w:pPr>
              <w:ind w:left="20"/>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788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3"/>
        </w:trPr>
        <w:tc>
          <w:tcPr>
            <w:tcW w:w="520" w:type="dxa"/>
            <w:vAlign w:val="bottom"/>
          </w:tcPr>
          <w:p>
            <w:pPr>
              <w:spacing w:after="0"/>
              <w:rPr>
                <w:sz w:val="24"/>
                <w:szCs w:val="24"/>
                <w:color w:val="auto"/>
              </w:rPr>
            </w:pPr>
          </w:p>
        </w:tc>
        <w:tc>
          <w:tcPr>
            <w:tcW w:w="6380" w:type="dxa"/>
            <w:vAlign w:val="bottom"/>
            <w:gridSpan w:val="12"/>
          </w:tcPr>
          <w:p>
            <w:pPr>
              <w:ind w:left="5160"/>
              <w:spacing w:after="0"/>
              <w:rPr>
                <w:sz w:val="20"/>
                <w:szCs w:val="20"/>
                <w:color w:val="auto"/>
              </w:rPr>
            </w:pPr>
            <w:r>
              <w:rPr>
                <w:rFonts w:ascii="Arial" w:cs="Arial" w:eastAsia="Arial" w:hAnsi="Arial"/>
                <w:sz w:val="18"/>
                <w:szCs w:val="18"/>
                <w:color w:val="auto"/>
              </w:rPr>
              <w:t>2</w:t>
            </w: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tcPr>
          <w:p>
            <w:pPr>
              <w:ind w:left="40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8620" w:type="dxa"/>
            <w:vAlign w:val="bottom"/>
          </w:tcPr>
          <w:p>
            <w:pPr>
              <w:jc w:val="center"/>
              <w:ind w:left="1452"/>
              <w:spacing w:after="0"/>
              <w:rPr>
                <w:sz w:val="20"/>
                <w:szCs w:val="20"/>
                <w:color w:val="auto"/>
              </w:rPr>
            </w:pPr>
            <w:r>
              <w:rPr>
                <w:rFonts w:ascii="Arial" w:cs="Arial" w:eastAsia="Arial" w:hAnsi="Arial"/>
                <w:sz w:val="18"/>
                <w:szCs w:val="18"/>
                <w:b w:val="1"/>
                <w:bCs w:val="1"/>
                <w:color w:val="auto"/>
                <w:w w:val="88"/>
              </w:rPr>
              <w:t>Active Power, Inc.</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620" w:type="dxa"/>
            <w:vAlign w:val="bottom"/>
          </w:tcPr>
          <w:p>
            <w:pPr>
              <w:jc w:val="center"/>
              <w:ind w:left="14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620" w:type="dxa"/>
            <w:vAlign w:val="bottom"/>
          </w:tcPr>
          <w:p>
            <w:pPr>
              <w:jc w:val="center"/>
              <w:ind w:left="1452"/>
              <w:spacing w:after="0"/>
              <w:rPr>
                <w:sz w:val="20"/>
                <w:szCs w:val="20"/>
                <w:color w:val="auto"/>
              </w:rPr>
            </w:pPr>
            <w:r>
              <w:rPr>
                <w:rFonts w:ascii="Arial" w:cs="Arial" w:eastAsia="Arial" w:hAnsi="Arial"/>
                <w:sz w:val="18"/>
                <w:szCs w:val="18"/>
                <w:color w:val="auto"/>
                <w:w w:val="87"/>
              </w:rPr>
              <w:t>(in thousands)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4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7"/>
              </w:rPr>
              <w:t>ASSETS</w:t>
            </w: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8"/>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Accounts receivable, net of allowance for doubtful accounts of $379 and $413 at June 30, 2009 and 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 w:type="dxa"/>
            <w:vAlign w:val="bottom"/>
            <w:shd w:val="clear" w:color="auto" w:fill="CCEEFF"/>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 respectively</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26,361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18"/>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2,173</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10,667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18"/>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260,344</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(244,676)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(238,843)</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18,895</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14,916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17,773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14,326</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11,123</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13,036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10,465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(3,420)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(5,728)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(9,354)</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(5,833)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62,424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60,208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61,349</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(5,833)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(8,896)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(4,280)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(5,596)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(5,833)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disposal of fixed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(1,193)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Long-term liabilities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in financing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11,300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right="858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manufacture and provide critical power quality solutions that provide business continuity and protect customers in the event of an electrical power disturbance.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Uninterruptible Power Supply (UPS) products we manufacture utilize green technologies to create a renewable energy source. We sell our products globally through direct, manufacturer’s representative and Original Equipment Manufacturer (OEM) channels. Our current principal markets are North America, Europe, Middle East and Africa (EMEA) and Asia.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(consisting only of normal recurring items)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2008.</w:t>
      </w:r>
    </w:p>
    <w:p>
      <w:pPr>
        <w:spacing w:after="0" w:line="1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preparing the accompanying condensed consolidated financial statements, the Company has reviewed, as determined necessary by the Company’s management, events that have occurred after June 30, 2009, up until the issuance of the financial statements, which occur on July 28, 2009.</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(FAS No. 157). FAS No. 157 defines fair value, establishes a framework for measuring fair value and enhances disclosures about fair value measurements required under other accounting pronouncements, but does not change existing guidance as to whether or not an instrument is carried at fair value. In February 2008, the FASB issued FSP FAS 157-2, “Effective Date of FASB Statement No. 157” which delayed the implementation of the provisions of FAS No. 157 with regard to non-financial assets and liabilities that are not carried at fair value on a recurring basis in financial statements. We have implemented FAS No. 157 for our non-financial assets and liabilities that are re-measured at fair value on a non-recurring basis as of January 1, 2009. The adoption of FAS No. 157 for our non-financial assets and liabilities that are re-measured at fair value on a non-recurring basis did not have a material impact on our financial position or results of operations; however, it could have an impact in future periods. In addition, we may have additional disclosure requirements in the event we complete an acquisition or incur impairment of our assets in future periods.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2009, FASB issued FSP SFAS No. 157-4, “Determining Fair Value When the Volume and Level of Activity for the Asset or Liability Have Significantly Decreased and Identifying Transactions That Are Not Orderly.” FSP SFAS No. 157-4 provides guidelines for making fair value measurements more consistent with the principles presented in SFAS No. 157, “Fair Value Measurements.” This FSP relates to determining fair values when there is no active market or where the price inputs being used represent distressed sales. It reaffirms what SFAS No.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 The FSP is effective for the Company’s annual reporting for the fiscal year 2009. The Company is currently evaluating the impact of the implementation of FSP SFAS No. 157-4 on its consolidated financial position, results of operations and cash flows.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December 2007, the FASB issued 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(FAS 141R) which replaces FAS No. 141, “Business Combinations” and FAS No. 160, “Noncontrolling Interests in Consolidated Financial Statements” (FAS 160). FAS 141R establishes principles and requirements for how an acquirer recognizes and measures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its financial statements the identifiable assets acquired, the liabilities assumed, any noncontrolling interest in the acquiree and the goodwill acquired. FAS 141R also establishes disclosure requirements that will enable users to evaluate the nature and financial effects of the business combination. FAS 160 clarifies the classification of noncontrolling interests in the financial statements and the accounting for and reporting of transactions between the reporting entity and holders of such noncontrolling interests. FAS 141R and FAS 160 are effective for the Company’s fiscal year 2009 and must be applied prospectively to all new acquisitions closing on or after January 1, 2009. Upon adoption, these standards did not have a material impact on the Company’s consolidated financial position and result of operations.</w:t>
      </w:r>
    </w:p>
    <w:p>
      <w:pPr>
        <w:spacing w:after="0" w:line="144"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April 2009, FASB issued FSP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which provides additional guidance designed to create greater clarity and consistency in accounting for and presenting impairment losses on securities. These standards are effective for periods ending after June 15, 2009. Accordingly, the Company adopted the provisions of FSP FAS 115-2 and FAS 124-2 on March 29, 2009. The adoption of this guidance did not have a material impact on our consolidated financial position, results of operations or cash flows. However, the provisions of FSP FAS 115-2 and FAS 124-2 result in additional disclosures with respect to the fair value of the Company’s investments with unrealized losses that are not deemed to be other-than-temporarily impaired. See Note 4,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these additional disclosures.</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April 2009, FASB issued FSP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xml:space="preserve"> which amends SFAS No. 107, “Disclosures about Fair Value of Financial Instruments,” to require disclosures about fair value of financial instruments in interim as well as annual financial statements. This standard is effective for periods ending after June 15, 2009. Accordingly, the Company adopted the provisions of FSP FAS 107-1 and APB 28-1 on June 30, 2009. The adoption of this guidance did not have a material impact on our consolidated financial position, results of operations or cash flows. However, the provisions of FSP FAS 107-1 and APB 28-1 result in additional disclosures with respect to the fair value of the Company’s financial instruments. See Note 4,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for these additional disclosures.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May 2009, the FASB issued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No. 165”), which provides guidance to establish general standards of accounting for, and disclosures of, events that occur after the balance sheet date but before financial statements are issued or are available to be issued. SFAS 165 is effective for interim or fiscal periods ending after June 15, 2009. Accordingly, the Company adopted the provisions of SFAS No. 165 on June 30, 2009. The adoption of this guidance did not have a material impact on our consolidated financial position, results of operations or cash flows. The provisions of SFAS No. 165 result in additional disclosures with respect to subsequent events, as disclosed in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above.</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Effective January 1, 2009, the Company adopted the provisions of FASB Staff Position (FSP) No. EITF 03-6-1, </w:t>
      </w:r>
      <w:r>
        <w:rPr>
          <w:rFonts w:ascii="Arial" w:cs="Arial" w:eastAsia="Arial" w:hAnsi="Arial"/>
          <w:sz w:val="16"/>
          <w:szCs w:val="16"/>
          <w:i w:val="1"/>
          <w:iCs w:val="1"/>
          <w:color w:val="auto"/>
        </w:rPr>
        <w:t>Determining Whether Instruments Granted</w:t>
      </w:r>
      <w:r>
        <w:rPr>
          <w:rFonts w:ascii="Arial" w:cs="Arial" w:eastAsia="Arial" w:hAnsi="Arial"/>
          <w:sz w:val="16"/>
          <w:szCs w:val="16"/>
          <w:color w:val="auto"/>
        </w:rPr>
        <w:t xml:space="preserve"> </w:t>
      </w:r>
      <w:r>
        <w:rPr>
          <w:rFonts w:ascii="Arial" w:cs="Arial" w:eastAsia="Arial" w:hAnsi="Arial"/>
          <w:sz w:val="16"/>
          <w:szCs w:val="16"/>
          <w:i w:val="1"/>
          <w:iCs w:val="1"/>
          <w:color w:val="auto"/>
        </w:rPr>
        <w:t>in Share-Based Payment Transactions are Participating Securities</w:t>
      </w:r>
      <w:r>
        <w:rPr>
          <w:rFonts w:ascii="Arial" w:cs="Arial" w:eastAsia="Arial" w:hAnsi="Arial"/>
          <w:sz w:val="16"/>
          <w:szCs w:val="16"/>
          <w:color w:val="auto"/>
        </w:rPr>
        <w:t>, which clarifies that share-based payment awards that entitle their holders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nonforfeitable dividends before vesting should be considered participating securities. As participating securities, these instruments should be included in the computation of earnings per share (“EPS”) using the two-class method under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adoption of this guidance did not have a material impact on the computation of net loss per share for the three and six months ended June 30, 2009 and 2008.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7020" w:type="dxa"/>
            <w:vAlign w:val="bottom"/>
          </w:tcPr>
          <w:p>
            <w:pPr>
              <w:ind w:left="160"/>
              <w:spacing w:after="0"/>
              <w:rPr>
                <w:sz w:val="20"/>
                <w:szCs w:val="20"/>
                <w:color w:val="auto"/>
              </w:rPr>
            </w:pPr>
            <w:r>
              <w:rPr>
                <w:rFonts w:ascii="Arial" w:cs="Arial" w:eastAsia="Arial" w:hAnsi="Arial"/>
                <w:sz w:val="18"/>
                <w:szCs w:val="18"/>
                <w:b w:val="1"/>
                <w:bCs w:val="1"/>
                <w:color w:val="auto"/>
              </w:rPr>
              <w:t>Supplemental Balance Sheet Information</w:t>
            </w:r>
          </w:p>
        </w:tc>
        <w:tc>
          <w:tcPr>
            <w:tcW w:w="2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7020" w:type="dxa"/>
            <w:vAlign w:val="bottom"/>
          </w:tcPr>
          <w:p>
            <w:pPr>
              <w:ind w:left="160"/>
              <w:spacing w:after="0"/>
              <w:rPr>
                <w:sz w:val="20"/>
                <w:szCs w:val="20"/>
                <w:color w:val="auto"/>
              </w:rPr>
            </w:pPr>
            <w:r>
              <w:rPr>
                <w:rFonts w:ascii="Arial" w:cs="Arial" w:eastAsia="Arial" w:hAnsi="Arial"/>
                <w:sz w:val="18"/>
                <w:szCs w:val="18"/>
                <w:b w:val="1"/>
                <w:bCs w:val="1"/>
                <w:color w:val="auto"/>
              </w:rPr>
              <w:t>Receivables</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020" w:type="dxa"/>
            <w:vAlign w:val="bottom"/>
          </w:tcPr>
          <w:p>
            <w:pPr>
              <w:ind w:left="620"/>
              <w:spacing w:after="0"/>
              <w:rPr>
                <w:sz w:val="20"/>
                <w:szCs w:val="20"/>
                <w:color w:val="auto"/>
              </w:rPr>
            </w:pPr>
            <w:r>
              <w:rPr>
                <w:rFonts w:ascii="Arial" w:cs="Arial" w:eastAsia="Arial" w:hAnsi="Arial"/>
                <w:sz w:val="18"/>
                <w:szCs w:val="18"/>
                <w:color w:val="auto"/>
              </w:rPr>
              <w:t>Accounts receivable consist of the following (in thousands):</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r>
      <w:tr>
        <w:trPr>
          <w:trHeight w:val="27"/>
        </w:trPr>
        <w:tc>
          <w:tcPr>
            <w:tcW w:w="3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r>
      <w:tr>
        <w:trPr>
          <w:trHeight w:val="20"/>
        </w:trPr>
        <w:tc>
          <w:tcPr>
            <w:tcW w:w="3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4,084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5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0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$ 7,203</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340" w:type="dxa"/>
            <w:vAlign w:val="bottom"/>
            <w:vMerge w:val="restart"/>
          </w:tcPr>
          <w:p>
            <w:pPr>
              <w:jc w:val="right"/>
              <w:ind w:right="3592"/>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Demonstration units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21,030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(17,659)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(16,915)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40" w:type="dxa"/>
            <w:vAlign w:val="bottom"/>
          </w:tcPr>
          <w:p>
            <w:pPr>
              <w:ind w:left="92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$ 1,511</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Warranty liability</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4,232</w:t>
            </w:r>
          </w:p>
        </w:tc>
        <w:tc>
          <w:tcPr>
            <w:tcW w:w="32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ectPr>
          <w:pgSz w:w="11900" w:h="16838" w:orient="portrait"/>
          <w:cols w:equalWidth="0" w:num="1">
            <w:col w:w="11420"/>
          </w:cols>
          <w:pgMar w:left="240" w:top="459" w:right="239" w:bottom="1440" w:gutter="0" w:footer="0" w:header="0"/>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warranty liability are presented in the following table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2" w:lineRule="exact"/>
        <w:rPr>
          <w:sz w:val="20"/>
          <w:szCs w:val="20"/>
          <w:color w:val="auto"/>
        </w:rPr>
      </w:pPr>
    </w:p>
    <w:p>
      <w:pPr>
        <w:jc w:val="center"/>
        <w:ind w:left="124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$ 948</w:t>
      </w:r>
    </w:p>
    <w:p>
      <w:pPr>
        <w:spacing w:after="0" w:line="3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$ 708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3" w:lineRule="exact"/>
        <w:rPr>
          <w:sz w:val="20"/>
          <w:szCs w:val="20"/>
          <w:color w:val="auto"/>
        </w:rPr>
      </w:pPr>
    </w:p>
    <w:p>
      <w:pPr>
        <w:ind w:left="147" w:hanging="147"/>
        <w:spacing w:after="0"/>
        <w:tabs>
          <w:tab w:leader="none" w:pos="147" w:val="left"/>
        </w:tabs>
        <w:numPr>
          <w:ilvl w:val="0"/>
          <w:numId w:val="4"/>
        </w:numPr>
        <w:rPr>
          <w:rFonts w:ascii="Arial" w:cs="Arial" w:eastAsia="Arial" w:hAnsi="Arial"/>
          <w:sz w:val="18"/>
          <w:szCs w:val="18"/>
          <w:color w:val="auto"/>
        </w:rPr>
      </w:pPr>
      <w:r>
        <w:rPr>
          <w:rFonts w:ascii="Arial" w:cs="Arial" w:eastAsia="Arial" w:hAnsi="Arial"/>
          <w:sz w:val="18"/>
          <w:szCs w:val="18"/>
          <w:color w:val="auto"/>
        </w:rPr>
        <w:t>670</w:t>
      </w:r>
    </w:p>
    <w:p>
      <w:pPr>
        <w:spacing w:after="0" w:line="15" w:lineRule="exact"/>
        <w:rPr>
          <w:rFonts w:ascii="Arial" w:cs="Arial" w:eastAsia="Arial" w:hAnsi="Arial"/>
          <w:sz w:val="18"/>
          <w:szCs w:val="18"/>
          <w:color w:val="auto"/>
        </w:rPr>
      </w:pPr>
    </w:p>
    <w:p>
      <w:pPr>
        <w:ind w:left="247"/>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$ 708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ectPr>
          <w:pgSz w:w="11900" w:h="16838" w:orient="portrait"/>
          <w:cols w:equalWidth="0" w:num="2">
            <w:col w:w="10173" w:space="720"/>
            <w:col w:w="527"/>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(4,427)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(8,896)</w:t>
            </w: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61,349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used in computing net loss per share, basic and diluted</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62,424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60,208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61,349</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calculation of diluted loss per share excludes 6,921,558 and 6,050,717 shares of common stock issuable upon exercise of employee stock options as of June 30, 2009 and 2008, respectively, and 123,013 and 235,344 of non-vested shares issuable upon exercise of restricted stock awards as of June 30, 2009 and 2008, respectively, because their inclusion in the calculation would be anti-dilutive. As of June 30, 2009 and 2008, there was no common stock subject to repurchase.</w:t>
      </w:r>
    </w:p>
    <w:p>
      <w:pPr>
        <w:spacing w:after="0" w:line="2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June 30, 2009.</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objectives to preserve capital, meet liquidity requirements and maximize return on our investments. We do not require collateral or enter into master netting arrangements to mitigate our credit risk.</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SFAS 157 defines fair value, establishes a framework for measuring fair value under generally accepted accounting principles and enhances disclosure requirements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SFAS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June 30, 2009, the Company’s cash and cash equivalents of $11.3 million and short-term investments of $0.4 million are all valued using quoted prices generated by market transactions involving identical assets, or Level 1 assets as defined under SFAS No. 157.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SFAS 157, the following table represents the Company’s fair value hierarchy for its financial assets (cash equivalents and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measured at fair value on a recurring basis as of June 30,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2"/>
              </w:rPr>
              <w:t>Level 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3</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Corporate Notes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The Company adopted the provisions of FSP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on June 30, 2009, which require disclosures about the fair value of financial instruments in interim as well as annual financial statements. For cash and cash equivalents, marketable securities, accounts receivable, and accounts payable, the carrying amount approximates fair value because of the relative short maturity of those instruments.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available-for-sale investments consist of the following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2009</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50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left="49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20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Debt Security</w:t>
            </w:r>
          </w:p>
        </w:tc>
        <w:tc>
          <w:tcPr>
            <w:tcW w:w="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5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5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20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400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gridSpan w:val="3"/>
            <w:vMerge w:val="continue"/>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400</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available-for-sale investments in a continuous unrealized loss position as of June 30,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the contractual underlying maturities of the Company’s available-for-sale investments at June 30, 2009 (in thousands):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$400</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403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22"/>
        </w:trPr>
        <w:tc>
          <w:tcPr>
            <w:tcW w:w="62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400</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403</w:t>
            </w: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June 30, 2009 and December 31, 2008 we had $96 and $491, respectively, of contingent liabilities outstanding to customers that were secured with letters of credit.</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In connection with one sale made in 2008 by our subsidiary company in the United Kingdom, as a condition of sale, we (as parent of the subsidiary) guaranteed the performance of the subsidiary pursuant to the terms and conditions of the sale contract with the UK-based technology customer. We have not recorded any liability on our balance sheet for this guarantee as it provides that we will not have to assume any greater liability under the contract than our subsidiary company, and because we believe that our subsidiary will meet all of its performance obligations relating to the sales contract.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entered into a modified Loan and Security Agreement (the “Loan Agreement”) with Silicon Valley Bank (“SVB”) in October 2008. The Loan Agreement provides for a secured revolving line of credit in an amount of up to $6 million subject to a borrowing base formula. Three million dollars of this credit facility is secured under a U.S. government guaranteed export-import credit facility that would add a U.S. government guarantee to the payments for these foreign shipments and make more of our foreign shipments eligible as security for the credit facility. The remaining $3 million credit facility does not have this guarantee, and is secured by first priority lien on substantially all of our assets. Prior to this modification to add the export-import facility, export revenues were not eligible to be included as part of the borrowing base. This may have limited our ability to utilize the revolving credit facility. All amounts borrowed under this credit facility are subject to a borrowing base formula based on eligible receivables and inventory.</w:t>
      </w:r>
    </w:p>
    <w:p>
      <w:pPr>
        <w:spacing w:after="0" w:line="11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we borrowed $2.0 million under the Loan Agreement and this balance remained outstanding at June 30,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Based on the borrowing base formula, we had an additional $0.8 million available for use at June 30, 2009 under the Loan Agreement.</w:t>
      </w:r>
    </w:p>
    <w:p>
      <w:pPr>
        <w:spacing w:after="0" w:line="2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29, 2009, we entered into a Securities Purchase Agreement with an institutional investor, pursuant to which the Company sold in a private placement 6,000,000 shares of its common stock, par value $0.001 per share, at a purchase price of $0.50 per share, or $3,000,000 before expenses, which were immaterial. Pursuant to the Securities Purchase Agreement, we agreed to use commercially reasonable efforts to prepare and file as soon as reasonably practicable a registration statement covering the resale of the Shares issued to the Purchasers and to use commercially reasonable efforts to cause such registration statement to become automatically effective or to be declared effective as soon as reasonably practicable, and in any event no later than 4:30 p.m. Eastern time on the two hundred and tenth (210</w:t>
      </w:r>
      <w:r>
        <w:rPr>
          <w:rFonts w:ascii="Arial" w:cs="Arial" w:eastAsia="Arial" w:hAnsi="Arial"/>
          <w:sz w:val="10"/>
          <w:szCs w:val="10"/>
          <w:color w:val="auto"/>
        </w:rPr>
        <w:t>th</w:t>
      </w:r>
      <w:r>
        <w:rPr>
          <w:rFonts w:ascii="Arial" w:cs="Arial" w:eastAsia="Arial" w:hAnsi="Arial"/>
          <w:sz w:val="16"/>
          <w:szCs w:val="16"/>
          <w:color w:val="auto"/>
        </w:rPr>
        <w:t>) day following the closing date.</w:t>
      </w:r>
    </w:p>
    <w:p>
      <w:pPr>
        <w:spacing w:after="0" w:line="27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July 16, 2009 we filed a Tender Offer Statement on Schedule TO with the Securities and Exchange Commission. Pursuant to the Tender Offer Statement, we have offered eligible employees holding options to purchase shares of our common stock granted under the Company’s 2000 Stock Incentive Plan, whether vested or unvested, the opportunity to exchange those options with an exercise price greater than $0.95 per share and that were granted prior to July 16, 2008, for lesser number of new options upon the terms and subject to certain conditions of the offer. The new options would have a per-share exercise price equal to the closing fair market value of a share of the Company’s common stock at the end of the offer period (currently expected to be August 13, 2009). The Company’s Board of Directors and executive officers are not eligible to participate in this offer. As of June 30, 2009, there were options to purchase 2,851,000 shares of Active Power common stock outstanding and eligible to participate in this offer by our employees.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2008 included in our 2008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of our 2008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June 30, 2009, we have shipped more than 2,200 flywheels in UPS system installations, delivering more than 550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 majority of customers in this market segment have backup generators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6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 commercialize our technologies by building the Active Power brand, expanding our sales distribution, focusing on product cost reduction, and building technical innovations to serve clients with mission critical power applications globally.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sell our products to a wide array of commercial and industrial customers and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Europe and Asia.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Variance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86"/>
              </w:rPr>
              <w:t>Three months ended 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2009 vs.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20" w:type="dxa"/>
            <w:vAlign w:val="bottom"/>
            <w:gridSpan w:val="2"/>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1"/>
              </w:rPr>
              <w:t>revenue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8"/>
              </w:rPr>
              <w:t>revenue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32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$ 5,207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$ 5,592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320" w:type="dxa"/>
            <w:vAlign w:val="bottom"/>
            <w:gridSpan w:val="2"/>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1,196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2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6,788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3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4,222</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64%</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4,765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232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3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78%</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5,846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Arial" w:cs="Arial" w:eastAsia="Arial" w:hAnsi="Arial"/>
                <w:sz w:val="18"/>
                <w:szCs w:val="18"/>
                <w:color w:val="auto"/>
              </w:rPr>
              <w:t>40%</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3,055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2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3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4,895</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5,545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2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(3,420)</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9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(4,603)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2960" w:type="dxa"/>
            <w:vAlign w:val="bottom"/>
            <w:gridSpan w:val="5"/>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(133)%</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2"/>
            <w:vMerge w:val="continue"/>
          </w:tcPr>
          <w:p>
            <w:pPr>
              <w:spacing w:after="0"/>
              <w:rPr>
                <w:sz w:val="19"/>
                <w:szCs w:val="19"/>
                <w:color w:val="auto"/>
              </w:rPr>
            </w:pPr>
          </w:p>
        </w:tc>
        <w:tc>
          <w:tcPr>
            <w:tcW w:w="23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(3,466)</w:t>
            </w: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(52)%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(4,427)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Variance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86"/>
              </w:rPr>
              <w:t>Six months ended 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2009 vs.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revenue</w:t>
            </w:r>
          </w:p>
        </w:tc>
        <w:tc>
          <w:tcPr>
            <w:tcW w:w="440" w:type="dxa"/>
            <w:vAlign w:val="bottom"/>
            <w:gridSpan w:val="2"/>
          </w:tcPr>
          <w:p>
            <w:pPr>
              <w:spacing w:after="0"/>
              <w:rPr>
                <w:sz w:val="14"/>
                <w:szCs w:val="1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4"/>
              </w:rPr>
              <w:t>revenue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$14,916</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$11,840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$ 3,076</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2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2,486</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17,773</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14,326</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3,447</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11,123</w:t>
            </w:r>
          </w:p>
        </w:tc>
        <w:tc>
          <w:tcPr>
            <w:tcW w:w="80" w:type="dxa"/>
            <w:vAlign w:val="bottom"/>
          </w:tcPr>
          <w:p>
            <w:pPr>
              <w:spacing w:after="0"/>
              <w:rPr>
                <w:sz w:val="19"/>
                <w:szCs w:val="19"/>
                <w:color w:val="auto"/>
              </w:rPr>
            </w:pP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63%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10,422</w:t>
            </w:r>
          </w:p>
        </w:tc>
        <w:tc>
          <w:tcPr>
            <w:tcW w:w="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13,036</w:t>
            </w:r>
          </w:p>
        </w:tc>
        <w:tc>
          <w:tcPr>
            <w:tcW w:w="80" w:type="dxa"/>
            <w:vAlign w:val="bottom"/>
          </w:tcPr>
          <w:p>
            <w:pPr>
              <w:spacing w:after="0"/>
              <w:rPr>
                <w:sz w:val="19"/>
                <w:szCs w:val="19"/>
                <w:color w:val="auto"/>
              </w:rPr>
            </w:pP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73%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12,601</w:t>
            </w:r>
          </w:p>
        </w:tc>
        <w:tc>
          <w:tcPr>
            <w:tcW w:w="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3,012</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880" w:type="dxa"/>
            <w:vAlign w:val="bottom"/>
            <w:gridSpan w:val="4"/>
          </w:tcPr>
          <w:p>
            <w:pPr>
              <w:jc w:val="right"/>
              <w:ind w:right="100"/>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18"/>
                <w:szCs w:val="18"/>
                <w:color w:val="auto"/>
              </w:rPr>
            </w:pP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6,005</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10,465</w:t>
            </w:r>
          </w:p>
        </w:tc>
        <w:tc>
          <w:tcPr>
            <w:tcW w:w="80" w:type="dxa"/>
            <w:vAlign w:val="bottom"/>
          </w:tcPr>
          <w:p>
            <w:pPr>
              <w:spacing w:after="0"/>
              <w:rPr>
                <w:sz w:val="19"/>
                <w:szCs w:val="19"/>
                <w:color w:val="auto"/>
              </w:rPr>
            </w:pPr>
          </w:p>
        </w:tc>
        <w:tc>
          <w:tcPr>
            <w:tcW w:w="1020" w:type="dxa"/>
            <w:vAlign w:val="bottom"/>
            <w:gridSpan w:val="5"/>
          </w:tcPr>
          <w:p>
            <w:pPr>
              <w:jc w:val="right"/>
              <w:ind w:right="300"/>
              <w:spacing w:after="0"/>
              <w:rPr>
                <w:sz w:val="20"/>
                <w:szCs w:val="20"/>
                <w:color w:val="auto"/>
              </w:rPr>
            </w:pPr>
            <w:r>
              <w:rPr>
                <w:rFonts w:ascii="Arial" w:cs="Arial" w:eastAsia="Arial" w:hAnsi="Arial"/>
                <w:sz w:val="18"/>
                <w:szCs w:val="18"/>
                <w:color w:val="auto"/>
              </w:rPr>
              <w:t>59%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11,079</w:t>
            </w:r>
          </w:p>
        </w:tc>
        <w:tc>
          <w:tcPr>
            <w:tcW w:w="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(5,728)</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9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(3,626)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28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(138)%</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(5,833)</w:t>
            </w:r>
          </w:p>
        </w:tc>
        <w:tc>
          <w:tcPr>
            <w:tcW w:w="80" w:type="dxa"/>
            <w:vAlign w:val="bottom"/>
          </w:tcPr>
          <w:p>
            <w:pPr>
              <w:spacing w:after="0"/>
              <w:rPr>
                <w:sz w:val="19"/>
                <w:szCs w:val="19"/>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(33)%</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85"/>
              </w:rPr>
              <w:t>$ (8,896)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0" w:type="dxa"/>
            <w:vAlign w:val="bottom"/>
            <w:vMerge w:val="restart"/>
          </w:tcPr>
          <w:p>
            <w:pPr>
              <w:jc w:val="right"/>
              <w:ind w:right="53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consists of sales of our CleanSource power quality products, comprised of both UPS and DC product lines, and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Power Systems (CPS) which are comprised of our UPS systems and some combination of third-party ancillary equipment, such as engine generators and electrical and switchgear products. The CPS products may be sold in a containerized solution that we call PowerHouse, or as separate equipment. Product revenue also includes sales of our CoolAir DC and CoolAir UPS products.</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decrease in product revenue from the second quarter of 2008 was due to lower sales volume of our UPS products, particularly in our European market. We believe that external economic factors have caused customers to delay product purchase decisions due to uncertainty or lack of liquidity, and this has resulted in a lengthened sales cycle for our products. This lower volume also impacted all of our distribution channels. Our UPS products represented approximately 60% of our total revenue in the second quarter of 2009, compared to 75% of total revenue in the second quarter of 2008. The average selling price during the second quarter of 2009 was $72,000 per quarter-megawatt flywheel, compared to $82,000 in the comparable period in 2008. The decrease in average selling price compared to 2008 was primarily a result of the sale of multiple units of our 1200kVA UPS product to our OEM partner this quarter at reduced prices, due to our decision to discontinue this unique product platform, and to replace it with a functionally equivalent product based on our standard UPS product family platform.</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six-month period ended June 30, 2009, our product revenues were 26 percent higher than the comparable period of 2008. This higher sales volume reflects the fact that we were able to build a substantial backlog of orders in 2008 including many that shipped in the beginning of 2009, before we saw the impacts of external economic factors on our level of new orders. This increase compared to the prior year is primarily in our North American and Asian markets and reflects stronger demand for our product technology in those markets.</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During the three-month period ended June 30, 2009 we sold 55 flywheel units compared to 62 flywheel units in the comparable period of 2008. For the six month period ended June 30, 2009 we sold 174 wheels which compares to 126 wheels sold in the comparable period of 2008. A single product, depending on its power rating, may be comprised of multiple flywheel units, so the number of wheels sold does not correlate to the number of orders received.</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 class UPS products, made directly by us is more unpredictable than orders received directly from our OEM partners and the variability in the receipt of such large orders can result in material changes in period-to-period revenue. Such revenues may also occur in periods other than when originally anticipated, which can add to the potential variability in our quarterly financial results and affect our ability to meet forecasted targets. For example, the absence of large system sales in the first and second quarters of 2009 contributed to the decrease in total revenues from their respective immediately preceding quarters.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North American sales remained steady at 77% of our total revenue for the three-month periods ended June 30, 2009 and 2008, and were 76% of total revenue in the first quarter of 2009. In absolute terms, our North American sales were 2% lower than the second quarter of 2008, which is consistent with the year-over-year decrease of 2% in total revenues. For the six months ended June 30, 2009, our North American sales were 77% of total revenue, which compared to 69% of total revenue in the comparable period of 2008. In total, our North American sales increased by 39% for the six month period ended June 30, 2009 compared to the comparable period of 2008, reflecting the overall growth in acceptance and market for our product.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Active Power sales offices and distributors who buy and resell our products. In 2007, we also opened our first Asian sales office in Tokyo. Sales of Active Power branded products through our direct and manufacturer’s representative channels were 61% of our total revenues for the three-month period ended June 30, 2009, compared to 50% for the same period of 2008, and were 58% of our total revenues for the six-month period ended June 30, 2009 compared to 53% for the same period of 2008. As direct sales typically have higher profit margins than sales through our OEM channels, we will continue to focus on our direct sales channel to increase revenue and improve profit margins. We believe sales of our Active Power branded products to government facilities and industrial customers in regions that were not covered by our OEMs will continue to increase over time and will continue to become a larger percentage of our total revenue. We believe that our direct sales volumes have not been impacted as much by external factors compared to our OEM channels. This is highlighted by the fact that our direct sales increased by 37% in total for the six month period ended June 30, 2009 compared to the comparable period of 2008. This growth compares to 10% growth for our OEM channel over the same periods.</w:t>
      </w:r>
    </w:p>
    <w:p>
      <w:pPr>
        <w:spacing w:after="0" w:line="12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Caterpillar remains our largest OEM partner and largest overall customer and represented 38% of our revenue for the three-month period ended June 30, 2009, compared to 50% of our revenue for the three-month period ended June 30, 2008, and 41% of our revenue for the six month period ended June 30, 2009, compared to 47% of our revenue for the six month period ended June 30, 2008. We have had recent success with Caterpillar selling our megawatt-class UPS products along with their large engine generators, and expect total revenue from this channel to continue to increase in 2009 in absolute terms.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on these types of customer situations. Due to the large size of some of our customer orders relative to our current total revenue levels, our quarterly total revenue trend and the proportion of sales made directly by us can be expected to fluctuate.</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Service and other revenue. </w:t>
      </w:r>
      <w:r>
        <w:rPr>
          <w:rFonts w:ascii="Arial" w:cs="Arial" w:eastAsia="Arial" w:hAnsi="Arial"/>
          <w:sz w:val="18"/>
          <w:szCs w:val="18"/>
          <w:color w:val="auto"/>
        </w:rPr>
        <w:t>Service and other revenue primarily relates to revenue generated from both traditional (after-market) service work and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Service and other revenue increased by 19% for the three-month period ended June 30, 2009, compared to the same prior year period. This increase is primarily due to higher levels of service and contract work from direct product sales made in prior quarters. For some of these customers we provide a full power solution, including site preparation, installation of an entire power solution and provision of all products required to provide a turnkey product to the end user. Where we make sales through our OEM channel, it is typical for the OEM to provide these types of services to their end-user customers. We anticipate that service and other revenue will continue to grow with product revenue and as our installed base of product expands, because as more units are sold to customers, more installation, startup and maintenance services will be required.</w:t>
      </w:r>
    </w:p>
    <w:p>
      <w:pPr>
        <w:spacing w:after="0" w:line="12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For the six month period ended June 30, 2009, our service and other revenues increased by 15% when compared to the same period of 2008. This reflects our larger installed base of customers that purchased products directly from us, a higher level of customers with maintenance contract agreements, and a higher level of business activity from higher product volumes, which includes greater levels of installation and start up of product, as well as project opportunities.</w:t>
      </w:r>
    </w:p>
    <w:p>
      <w:pPr>
        <w:spacing w:after="0" w:line="8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or ancillary equipment that are sourced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external suppliers, personnel, equipment and other costs associated with our assembly and test operations, including costs from having underutilized facilities, shipping costs, warranty costs, and the costs of manufacturing support functions such as logistics and quality assurance.</w:t>
      </w:r>
    </w:p>
    <w:p>
      <w:pPr>
        <w:spacing w:after="0" w:line="10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The cost of product revenue as a percentage of total product revenue decreased from 85% in the second quarter of 2008 to 81% in the three-month period ended June 30, 2009 due to the effects of lower product costs and from lower levels of manufacturing overhead. We have instituted programs to reduce product and component costs where feasible, and this has resulted in a decrease in materials costs as a percentage of product revenue and helped us to mitigate the impact of fluctuating raw commodity pricing on our total product costs. We continue to operate a manufacturing facility that has a capacity level significantly greater than our current product revenue levels. In addition, a large portion of the costs involved in operating our manufacturing facility are fixed in nature and we incur approximately $750,000 to $1.0 million in unabsorbed overhead each quarter. We continue to work on reducing our product costs through design enhancements and modifications, and vendor management programs. The accomplishment of material gross-margin levels is heavily dependent upon our sales channel mix and the effectiveness of our product pricing to our customers as well as the volume of flywheels manufactured. Our ability to maintain and grow positive product gross margin will depend on multiple factors, including our ability to continue to reduce material costs, improve our sales channel mix in favor of direct sales versus OEM, increase product prices, and increase our total revenues to a level that will allow us to improve the utilization of our manufacturing operations.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six months ended June 30, 2009 the cost of product revenue decreased to 63% of total revenue, compared to 73% of total revenue for the same period of 2008. This improvement reflects the impact of increased flywheels sold, which causes improved efficiency in our manufacturing organization and lower unabsorbed overhead costs, as well as the impact of material and overhead cost reductions.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Cost of service and other revenue. </w:t>
      </w:r>
      <w:r>
        <w:rPr>
          <w:rFonts w:ascii="Arial" w:cs="Arial" w:eastAsia="Arial" w:hAnsi="Arial"/>
          <w:sz w:val="15"/>
          <w:szCs w:val="15"/>
          <w:color w:val="auto"/>
        </w:rPr>
        <w:t>Cost of service and other revenue includes the cost of component parts that we use in service or sell as spare parts,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well as labor and overhead costs of our service organization, including travel and related costs incurred in fulfilling our service obligations to our customers.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cost of service and other revenue decreased to 66% of service and other revenue in the three-month period ended of June 30, 2009, compared to 90% in the same period of 2008, and decreased to 67% of service and other revenue in the six month period ended June 30, 2009, compared to 88% in the same period of 2008. This decrease reflects better utilization of our service personnel, improved pricing for service, and higher margins on contract work compared to the prior period and the benefits of higher service volume to help meet the fixed costs of our service infrastructure. Many of the costs of the service organization are fixed in nature, and higher volume of installation, startup and service work is resulting in improved efficiency and operating results for this group. We expect this trend to continue during the remainder of 2009.</w:t>
      </w:r>
    </w:p>
    <w:p>
      <w:pPr>
        <w:spacing w:after="0" w:line="12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product development activities, as well as an allocated portion of our occupancy costs. Overall our research and development expenses were $246,000, or 19%, lower in the second quarter of 2009 compared to the second quarter of 2008, and were $43,000, or 4%, lower than the first quarter of 2009. For the six month period ended June 30, 2009, our research and development expenses were $547,000 or 20% lower than the comparable period of 2008. These decreases from the same period in 2008 were due to headcount reductions compared to 2008 and lower project related development costs this year. The prior year expenses included higher prototype and development costs for paralleling our megawatt-class UPS products. We believe research and development expenses in the third quarter will remain at similar levels to those recorded in the second quarter.</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 primarily consists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and related travel, selling and marketing expenses, as well as an allocated portion of our occupancy costs and the cost of our foreign sales operations. Selling and marketing costs were $395,000, or 13%, lower in the second quarter of 2009 compared to the amount recorded in the second quarter of 2008, and were $670,000, or 20%, lower than first quarter of 2009. The decrease from the same period in 2008 reflects decreased spending on marketing activities in 2009, including tradeshows, as well as decreased third party manufacturing representative commissions. The decrease in our sales and marketing costs from first quarter of 2009 is due to decreased variable sales compensation associated with the decrease in revenue from first quarter, as well as decreased spending on marketing activities. For the six month period ended June 30, 2009 our selling and marketing costs were approximately the same as the amount recorded in 2008, despite the higher revenue levels in this same period. Our total headcount in sales and marketing in the second quarter of 2009 remained at similar levels to the prior quarter, although we have changed the composition of our sales team over the last year as we expand our direct sales force. We believe that sales and marketing expenses will remain at similar levels in the third quarter of 2009 to those recorded in the second quarter of 2009 except for changes in variable selling expenses, based on fluctuations in total revenue.</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is primarily comprised of compensation and related costs for executive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professional fees, and taxes, including sales, property and franchise taxes. General and administrative expenses for the second quarter of 2009 remained steady compared to the levels of the same period in 2008 and increased by $38,000, or 3%, from the immediately preceding quarter. This increase from the three-month period ended March 31, 2009 predominantly reflects higher professional fees incurred in connection with the private placement of securities in the second quarter and with the employee stock option exchange program that was approved by the stockholders at the 2009 Annual Meeting. Absent the impact of such expenses from the option exchange program, we anticipate that the level of general and administrative expenses should stay at similar levels in the third quarter of 2009.</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Interest income (expense) has decreased from $91,000 in the three-month period ended June 30, 2008 to ($18,000) in the three-month period ended June 30, 2009. This reflects the decrease in our average cash and investments balance compared to the prior year as we have used our investments to fund operations, decreasing interest rates available in credit markets and interest expense paid on balances outstanding under our Loan Agreement. Our average cash and investments balance over the three month period ending June 30, 2009 has decreased by approximately $4.7 million, or 30%, compared to the average balance over the comparable period ending June 30, 2008.</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in the second quarter of 2009 reflects foreign exchange gains (losses) on a bank account held in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Other income in the second quarter of 2008 includes our sale of previously expensed equipment as well as foreign exchange gains on a bank account held in foreign currency.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primary sources of liquidity at June 30, 2009 are our cash and investments on hand, our bank credit facilities and projected cash flows from operating activities. If we meet our cash flow projections in our current business plan, we expect that we will not require additional financing in order to continue operating and growing our business during the next twelve months. Our business plan and our assumptions around the adequacy of our liquidity are based on estimates regarding expected revenues and future costs. However, there are scenarios in which our revenues may not meet our projections or our costs may exceed our estimates. Further, our estimates may change and future events or developments may also affect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estimates. Any of these factors may change our expectation of cash usage in 2009 and beyond or significantly affect our level of liquidity, which may require us to seek additional financing or take other measures to reduce our operating costs in order to continue operating. Our cash and investments at June 30, 2009 totaled $11.7 million.</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29, 2009, we entered into a Securities Purchase Agreement with an institutional investor, pursuant to which the Company sold in a private placement 6,000,000 shares of its common stock, par value $0.001 per share, at a purchase price of $0.50 per share, or $3,000,000 in the aggregate. Pursuant to the Securities Purchase Agreement, we agreed to use commercially reasonable efforts to prepare and file as soon as reasonably practicable a registration statement covering the resale of the shares issued to the purchasers and to use commercially reasonable efforts to cause such registration statement to become automatically effective or to be declared effective as soon as reasonably practicable, and in any event no later than 4:30 p.m. Eastern time on the two hundred and tenth (210</w:t>
      </w:r>
      <w:r>
        <w:rPr>
          <w:rFonts w:ascii="Arial" w:cs="Arial" w:eastAsia="Arial" w:hAnsi="Arial"/>
          <w:sz w:val="11"/>
          <w:szCs w:val="11"/>
          <w:color w:val="auto"/>
        </w:rPr>
        <w:t>th</w:t>
      </w:r>
      <w:r>
        <w:rPr>
          <w:rFonts w:ascii="Arial" w:cs="Arial" w:eastAsia="Arial" w:hAnsi="Arial"/>
          <w:sz w:val="18"/>
          <w:szCs w:val="18"/>
          <w:color w:val="auto"/>
        </w:rPr>
        <w:t>) day following the closing date.</w:t>
      </w:r>
    </w:p>
    <w:p>
      <w:pPr>
        <w:spacing w:after="0" w:line="1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entered into a modified Loan and Security Agreement (the “Loan Agreement”) with Silicon Valley Bank (“SVB”) in October 2008. The Loan Agreement provides for a secured revolving line of credit in an amount of up to $6.0 million, subject to a borrowing base formula. The Loan Agreement provides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 During the year ended December 31, 2008, we borrowed $2.0 million under the Loan Agreement and this balance remained outstanding at June 30, 2009. Based on the borrowing base formula, we had an additional $0.8 million available for use at June 30, 2009 under the Loan Agreement.</w:t>
      </w:r>
    </w:p>
    <w:p>
      <w:pPr>
        <w:spacing w:after="0" w:line="1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(i) SVB’s prime rate plus 0.25% or (ii) 5.25%.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of each of our subsidiaries held by us.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4"/>
              </w:rPr>
              <w:t>Six months</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5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w w:val="82"/>
              </w:rPr>
              <w:t>2009 vs. 2008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5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$(2,459)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$(8,058)</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$(5,599)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(69)%</w:t>
            </w:r>
          </w:p>
        </w:tc>
      </w:tr>
      <w:tr>
        <w:trPr>
          <w:trHeight w:val="363"/>
        </w:trPr>
        <w:tc>
          <w:tcPr>
            <w:tcW w:w="3500" w:type="dxa"/>
            <w:vAlign w:val="bottom"/>
          </w:tcPr>
          <w:p>
            <w:pPr>
              <w:spacing w:after="0"/>
              <w:rPr>
                <w:sz w:val="24"/>
                <w:szCs w:val="24"/>
                <w:color w:val="auto"/>
              </w:rPr>
            </w:pPr>
          </w:p>
        </w:tc>
        <w:tc>
          <w:tcPr>
            <w:tcW w:w="2580" w:type="dxa"/>
            <w:vAlign w:val="bottom"/>
          </w:tcPr>
          <w:p>
            <w:pPr>
              <w:jc w:val="right"/>
              <w:ind w:right="1112"/>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used in operating activities decreased by 69% in the six month period ended June 30, 2009 compared to the same period of 2008. Approximately $3.6 million of this decrease was due to lower operating losses in our business in 2009 compared to 2008. The rest of the decrease in cash used in operating activities was due to changes in our working capital. In 2008, we had increased investment in receivables and inventory during the first half of the year, as well as decreased amounts of deferred revenue. In the first half of 2009, due to the fact that our revenues were declining from the immediately preceding periods, we were able to generate funds from operation by decreasing our receivables as we collected prior sales. Also due to the timing of specific customer orders, particularly in Europe, we were able to increase our deferred revenues by $772,000 as we collected deposits and interim payments from customers to help fund the procurement and building of products. These gains were offset by an increase in inventory in the second quarter of 2009 as we manufactured product in anticipation of orders that were subsequently delayed. We anticipate that the level of cash used in operating activities will decrease slightly in the third quarter as we continue to have fluctuations in our working capital.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provided by investing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Six months ended</w:t>
            </w: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Variance 2009</w:t>
            </w:r>
          </w:p>
        </w:tc>
      </w:t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jc w:val="center"/>
              <w:ind w:left="187"/>
              <w:spacing w:after="0"/>
              <w:rPr>
                <w:sz w:val="20"/>
                <w:szCs w:val="20"/>
                <w:color w:val="auto"/>
              </w:rPr>
            </w:pPr>
            <w:r>
              <w:rPr>
                <w:rFonts w:ascii="Arial" w:cs="Arial" w:eastAsia="Arial" w:hAnsi="Arial"/>
                <w:sz w:val="14"/>
                <w:szCs w:val="14"/>
                <w:b w:val="1"/>
                <w:bCs w:val="1"/>
                <w:color w:val="auto"/>
                <w:w w:val="84"/>
              </w:rPr>
              <w:t>vs. 2008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investing activities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4,566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$(4,479)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(98)%</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$213,000 in the six month period ending June 30, 2009 compared to $668,000 in the same period of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financing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Six months ended</w:t>
            </w:r>
          </w:p>
        </w:tc>
        <w:tc>
          <w:tcPr>
            <w:tcW w:w="1300" w:type="dxa"/>
            <w:vAlign w:val="bottom"/>
            <w:gridSpan w:val="5"/>
          </w:tcPr>
          <w:p>
            <w:pPr>
              <w:ind w:left="280"/>
              <w:spacing w:after="0"/>
              <w:rPr>
                <w:sz w:val="20"/>
                <w:szCs w:val="20"/>
                <w:color w:val="auto"/>
              </w:rPr>
            </w:pPr>
            <w:r>
              <w:rPr>
                <w:rFonts w:ascii="Arial" w:cs="Arial" w:eastAsia="Arial" w:hAnsi="Arial"/>
                <w:sz w:val="14"/>
                <w:szCs w:val="14"/>
                <w:b w:val="1"/>
                <w:bCs w:val="1"/>
                <w:color w:val="auto"/>
              </w:rPr>
              <w:t>Variance</w:t>
            </w:r>
          </w:p>
        </w:tc>
      </w:tr>
      <w:tr>
        <w:trPr>
          <w:trHeight w:val="161"/>
        </w:trPr>
        <w:tc>
          <w:tcPr>
            <w:tcW w:w="66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gridSpan w:val="2"/>
          </w:tcPr>
          <w:p>
            <w:pPr>
              <w:jc w:val="center"/>
              <w:ind w:left="267"/>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2009 vs. 2008</w:t>
            </w:r>
          </w:p>
        </w:tc>
      </w:tr>
      <w:tr>
        <w:trPr>
          <w:trHeight w:val="142"/>
        </w:trPr>
        <w:tc>
          <w:tcPr>
            <w:tcW w:w="66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2"/>
                <w:szCs w:val="12"/>
                <w:color w:val="auto"/>
              </w:rPr>
            </w:pPr>
          </w:p>
        </w:tc>
        <w:tc>
          <w:tcPr>
            <w:tcW w:w="4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$(36)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3,036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8433%</w:t>
            </w: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Funds provided by financing activities during the six months ended June 30, 2009 reflect the sale of common stock through a private placement to an institutional investor pursuant to which we sold 6.0 million shares of common stock at $0.50 per share. The financing closed on May 29, 2009. The funds used in financing activities during the six months ended June 30, 2008 reflect the purchase of treasury shares offset by proceeds from employee share purchases.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our cash and investments will be sufficient to fund our operations for at least the next 12 months. We have prepared multiple scenarios for anticipated revenues in 2009, both favorable and unfavorable, to reflect the high level of uncertainty about the macroeconomic environment in which we operate our business. Our sales cycle is such that we generally have visibility 2-3 quarters in advance for future orders that allows us to predict revenues over this period of time with some degree of confidence though the recent global economic slump has reduced our confidence factors somewhat. This window also provides us with some opportunity to adjust expenditures or take other measures to reduce our cash consumption if we can see and anticipate a shortfall in revenue. Based on the different scenarios we modeled for 2009, we believe that we can continue to manage operations and manage our working capital with the cash and investments on hand as at June 30, 2009 without the need for a further capital raise.</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noted above, we believe our existing cash and investments at June 30, 2009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in particular the PowerHouse product family, the timing and level of development funding, the rate of expansion of our sales and marketing activities, the efficiency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In September 2006, the FASB issued SFAS No. 157, “Fair Value Measurements (FAS No. 157).” FAS No. 157 defines fair value, establishes a framework for measuring fair value and enhances disclosures about fair value measurements required under other accounting pronouncements, but does not change existing guidance as to whether or not an instrument is carried at fair value. In February 2008, the FASB issued FSP FAS 157-2, “Effective Date of FASB Statement</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No. 157” which delayed the implementation of the provisions of FAS No. 157 with regard to non-financial assets and liabilities that are not carried at fair value on a recurring basis in financial statements. We have implemented FAS No. 157 for our nonfinancial assets and liabilities that are remeasured at fair value on a non-recurring basis as of January 1, 2009. The adoption of FAS No. 157 for our nonfinancial assets and liabilities that are remeasured at fair value on a non-recurring basis did not have a material impact on our financial position or results of operations; however, it could have an impact in future periods. In addition, we may have additional disclosure requirements in the event we complete an acquisition or incur impairment of our assets in future periods.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April 2009, FASB issued FSP SFAS No. 157-4, “Determining Fair Value When the Volume and Level of Activity for the Asset or Liability Have Significantly Decreased and Identifying Transactions That Are Not Orderly.” FSP SFAS No. 157-4 provides guidelines for making fair value measurements more consistent with the principles presented in SFAS No. 157, “Fair Value Measurements.” This FSP relates to determining fair values when there is no active market or where the price inputs being used represent distressed sales. It reaffirms what SFAS No.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 The FSP is effective for the Company’s annual reporting for the fiscal year 2009. The Company is currently evaluating the impact of the implementation of FSP SFAS No. 157-4 on its consolidated financial position, results of operations and cash flows.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11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April 2009, FASB issued FSP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which provides additional guidance designed to create greater clarity and consistency in accounting for and presenting impairment losses on securities. These standards are effective for periods ending after June 15, 2009. Accordingly, the Company adopted the provisions of FSP FAS 115-2 and FAS 124-2 on March 29, 2009. The adoption of this guidance did not have a material impact on our consolidated financial position, results of operations or cash flows. However, the provisions of FSP FAS 115-2 and FAS 124-2 result in additional disclosures with respect to the fair value of the Company’s investments with unrealized losses that are not deemed to be other-than-temporarily impaired. See Note 4,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these additional disclosures.</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April 2009, FASB issued FSP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xml:space="preserve"> which amends SFAS No. 107, “Disclosures about Fair Value of Financial Instruments,” to require disclosures about fair value of financial instruments in interim as well as annual financial statements. This standard is effective for periods ending after June 15, 2009. Accordingly, the Company adopted the provisions of FSP FAS 107-1 and APB 28-1 on June 30, 2009. The adoption of this guidance did not have a material impact on our consolidated financial position, results of operations or cash flows. However, the provisions of FSP FAS 107-1 and APB 28-1 result in additional disclosures with respect to the fair value of the Company’s financial instruments. See Note 4,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for these additional disclosures.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May 2009, the FASB issued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No. 165”), which provides guidance to establish general standards of accounting for, and disclosures of, events that occur after the balance sheet date but before financial statements are issued or are available to be issued. SFAS 165 is effective for interim or fiscal periods ending after June 15, 2009. Accordingly, the Company adopted the provisions of SFAS No. 165 on June 30, 2009. The adoption of this guidance did not have a material impact on our consolidated financial position, results of operations or cash flows. However, the provisions of SFAS No. 165 result in additional disclosures with respect to subsequent events. See Note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$0.1 million.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international sales have historically been made in U.S. dollars. As we have increased sales in foreign markets and opened operations in multiple foreign countries, we have executed more transactions that are denominated in other currencies, primarily euros and British pounds. Those sales and expenses in currencies other than U.S. dollars can result in transaction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1A—”Risk Factors” in our 2008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June 30, 2009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June 30, 2009 there was no change in our internal control over financial reporting that occurred that has materially affected, or that we believe is reasonably likely to materially affect, our internal control over financial reporting, as defined in Rules 13a-15(f) and 15d-15(f)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2008 Annual Report on Form 10-K before making a decision to invest in our common stock or in evaluating Active Power and our business. The risks and uncertainties described in our 2008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2008 Annual Report on Form 10-K could materially harm our business, financial condition and results of operations. In that case, the trading price of our common stock could decline.</w:t>
      </w:r>
    </w:p>
    <w:p>
      <w:pPr>
        <w:spacing w:after="0" w:line="20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second quarter of 2009, our five largest customers contributed 58%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NASDAQ’s Marketplace Rule 4450(a)(5), or the Rule, because the closing bid price for our Common Stock had, for the preceding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consecutive business days, closed below the minimum $1.00 per share requirement for continued listing. In accordance with Marketplace Rule 4450(e)(2)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provided a period of 180 calendar days, or until February 17, 2009, to regain compliance. On October 16, 2008, NASDAQ announced that they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suspended the enforcement of the Rule until January 19, 2009. NASDAQ subsequently extended the suspension of enforcement of the Rule in December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again in March 2009. On July 14, 2009, NASDAQ informed us that the temporary suspension of enforcement of the Rule would remain in effect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2009. As a result, the period during which we must regain compliance has been extended to December 2, 2009. If at any time before December 2,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bid price of our Common Stock closes at or above $1.00 per share for a minimum of 10 consecutive business days, NASDAQ will provide written notification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have achieved compliance with the Rule. If compliance with the Rule cannot be demonstrated by December 2, 2009, our Common Stock will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delisting from The NASDAQ Global Market.</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our annual meeting of stockholders held on May 14, 2009, our stockholders voted on the following matters:</w:t>
      </w:r>
    </w:p>
    <w:p>
      <w:pPr>
        <w:spacing w:after="0" w:line="90" w:lineRule="exact"/>
        <w:rPr>
          <w:sz w:val="20"/>
          <w:szCs w:val="20"/>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three Class III directors to serve until our 2012 annual meeting or until their successors have been elected and qualified. The nominees of the board of directors were elected by the following vote: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II Director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in Favor</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Against or Withheld</w:t>
            </w:r>
          </w:p>
        </w:tc>
      </w:tr>
      <w:tr>
        <w:trPr>
          <w:trHeight w:val="21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Ake Almgren</w:t>
            </w:r>
          </w:p>
        </w:tc>
        <w:tc>
          <w:tcPr>
            <w:tcW w:w="28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48,829,903</w:t>
            </w:r>
          </w:p>
        </w:tc>
        <w:tc>
          <w:tcPr>
            <w:tcW w:w="2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227,790</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8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48,787,449</w:t>
            </w:r>
          </w:p>
        </w:tc>
        <w:tc>
          <w:tcPr>
            <w:tcW w:w="27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270,244</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Robert S. Greenberg</w:t>
            </w:r>
          </w:p>
        </w:tc>
        <w:tc>
          <w:tcPr>
            <w:tcW w:w="28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48,775,789</w:t>
            </w:r>
          </w:p>
        </w:tc>
        <w:tc>
          <w:tcPr>
            <w:tcW w:w="2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281,904</w:t>
            </w:r>
          </w:p>
        </w:tc>
      </w:tr>
      <w:tr>
        <w:trPr>
          <w:trHeight w:val="363"/>
        </w:trPr>
        <w:tc>
          <w:tcPr>
            <w:tcW w:w="3040" w:type="dxa"/>
            <w:vAlign w:val="bottom"/>
          </w:tcPr>
          <w:p>
            <w:pPr>
              <w:spacing w:after="0"/>
              <w:rPr>
                <w:sz w:val="24"/>
                <w:szCs w:val="24"/>
                <w:color w:val="auto"/>
              </w:rPr>
            </w:pPr>
          </w:p>
        </w:tc>
        <w:tc>
          <w:tcPr>
            <w:tcW w:w="2860" w:type="dxa"/>
            <w:vAlign w:val="bottom"/>
            <w:gridSpan w:val="2"/>
          </w:tcPr>
          <w:p>
            <w:pPr>
              <w:jc w:val="right"/>
              <w:ind w:right="1412"/>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0740"/>
          </w:cols>
          <w:pgMar w:left="240" w:top="459"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of a one-time option exchange program for employees other than directors and executive officers. The proposal was approved by the following vote: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in Favor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 Voted Opposed</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Abstaining</w:t>
            </w:r>
          </w:p>
        </w:tc>
      </w:tr>
      <w:tr>
        <w:trPr>
          <w:trHeight w:val="210"/>
        </w:trPr>
        <w:tc>
          <w:tcPr>
            <w:tcW w:w="304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rPr>
              <w:t>30,428,823</w:t>
            </w:r>
          </w:p>
        </w:tc>
        <w:tc>
          <w:tcPr>
            <w:tcW w:w="28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996,161</w:t>
            </w:r>
          </w:p>
        </w:tc>
        <w:tc>
          <w:tcPr>
            <w:tcW w:w="27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224,524</w:t>
            </w:r>
          </w:p>
        </w:tc>
      </w:tr>
    </w:tbl>
    <w:p>
      <w:pPr>
        <w:spacing w:after="0" w:line="194"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2009. The appointment was approved by the following vote: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Abstaining</w:t>
            </w: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48,680,859</w:t>
            </w:r>
          </w:p>
        </w:tc>
        <w:tc>
          <w:tcPr>
            <w:tcW w:w="28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6"/>
              </w:rPr>
              <w:t>339,910</w:t>
            </w:r>
          </w:p>
        </w:tc>
        <w:tc>
          <w:tcPr>
            <w:tcW w:w="27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36,924</w:t>
            </w:r>
          </w:p>
        </w:tc>
      </w:tr>
      <w:tr>
        <w:trPr>
          <w:trHeight w:val="498"/>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46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97"/>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as Exhibit 3.1 to Active Power’s Quarterly Report on Form 10-Q filed on July 28, 2006)</w:t>
      </w:r>
    </w:p>
    <w:p>
      <w:pPr>
        <w:spacing w:after="0" w:line="117"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 2, 2007)</w:t>
      </w:r>
    </w:p>
    <w:p>
      <w:pPr>
        <w:spacing w:after="0" w:line="117" w:lineRule="exact"/>
        <w:rPr>
          <w:sz w:val="20"/>
          <w:szCs w:val="20"/>
          <w:color w:val="auto"/>
        </w:rPr>
      </w:pPr>
    </w:p>
    <w:p>
      <w:pPr>
        <w:ind w:left="1320" w:right="920" w:hanging="762"/>
        <w:spacing w:after="0" w:line="268" w:lineRule="auto"/>
        <w:tabs>
          <w:tab w:leader="none" w:pos="1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Amendment to Second Amended and Restated Bylaws (filed as Exhibit 3.01 to Active Power’s Current Report on Form 8-K filed December 7, 2007)</w:t>
      </w:r>
    </w:p>
    <w:p>
      <w:pPr>
        <w:spacing w:after="0" w:line="78" w:lineRule="exact"/>
        <w:rPr>
          <w:sz w:val="20"/>
          <w:szCs w:val="20"/>
          <w:color w:val="auto"/>
        </w:rPr>
      </w:pPr>
    </w:p>
    <w:p>
      <w:pPr>
        <w:ind w:left="1320" w:right="500" w:hanging="762"/>
        <w:spacing w:after="0" w:line="268" w:lineRule="auto"/>
        <w:tabs>
          <w:tab w:leader="none" w:pos="13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certificate for shares of Common Stock (filed as Exhibit 4.1 to Active Power’s IPO Registration Statement on Form S-l (SEC File No. 333-36946) (the “IPO Registration Statement”))</w:t>
      </w:r>
    </w:p>
    <w:p>
      <w:pPr>
        <w:spacing w:after="0" w:line="78" w:lineRule="exact"/>
        <w:rPr>
          <w:sz w:val="20"/>
          <w:szCs w:val="20"/>
          <w:color w:val="auto"/>
        </w:rPr>
      </w:pPr>
    </w:p>
    <w:p>
      <w:pPr>
        <w:ind w:left="1320" w:right="480" w:hanging="762"/>
        <w:spacing w:after="0" w:line="256" w:lineRule="auto"/>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dated December 13, 2001)</w:t>
      </w:r>
    </w:p>
    <w:p>
      <w:pPr>
        <w:spacing w:after="0" w:line="89" w:lineRule="exact"/>
        <w:rPr>
          <w:sz w:val="20"/>
          <w:szCs w:val="20"/>
          <w:color w:val="auto"/>
        </w:rPr>
      </w:pPr>
    </w:p>
    <w:p>
      <w:pPr>
        <w:ind w:left="1320" w:right="480" w:hanging="762"/>
        <w:spacing w:after="0" w:line="268" w:lineRule="auto"/>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See Exhibits 3.1, 3.2 and 3.3 for provisions of the Certificate of Incorporation and Bylaws of the registrant defining the rights of holders of common stock</w:t>
      </w:r>
    </w:p>
    <w:p>
      <w:pPr>
        <w:spacing w:after="0" w:line="78" w:lineRule="exact"/>
        <w:rPr>
          <w:sz w:val="20"/>
          <w:szCs w:val="20"/>
          <w:color w:val="auto"/>
        </w:rPr>
      </w:pPr>
    </w:p>
    <w:p>
      <w:pPr>
        <w:ind w:left="1320" w:right="500" w:hanging="850"/>
        <w:spacing w:after="0" w:line="268" w:lineRule="auto"/>
        <w:tabs>
          <w:tab w:leader="none" w:pos="13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Securities Purchase Agreement, dated as of May 29, 2009 (filed as Exhibit 10.1 to Active Power’s Current Report on Form 8-K filed on June 1, 2009)</w:t>
      </w:r>
    </w:p>
    <w:p>
      <w:pPr>
        <w:spacing w:after="0" w:line="78" w:lineRule="exact"/>
        <w:rPr>
          <w:sz w:val="20"/>
          <w:szCs w:val="20"/>
          <w:color w:val="auto"/>
        </w:rPr>
      </w:pPr>
    </w:p>
    <w:p>
      <w:pPr>
        <w:ind w:left="1320" w:right="440" w:hanging="850"/>
        <w:spacing w:after="0" w:line="268" w:lineRule="auto"/>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 and 15d-14(a), as adopted pursuant to Section 302 of the Sarbanes-Oxley Act of 2003</w:t>
      </w:r>
    </w:p>
    <w:p>
      <w:pPr>
        <w:spacing w:after="0" w:line="78" w:lineRule="exact"/>
        <w:rPr>
          <w:sz w:val="20"/>
          <w:szCs w:val="20"/>
          <w:color w:val="auto"/>
        </w:rPr>
      </w:pPr>
    </w:p>
    <w:p>
      <w:pPr>
        <w:ind w:left="1320" w:right="560" w:hanging="850"/>
        <w:spacing w:after="0" w:line="268" w:lineRule="auto"/>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 and 15(d)-14(a), as adopted pursuant to Section 302 of the Sarbanes-Oxley Act of 2003</w:t>
      </w:r>
    </w:p>
    <w:p>
      <w:pPr>
        <w:spacing w:after="0" w:line="78" w:lineRule="exact"/>
        <w:rPr>
          <w:sz w:val="20"/>
          <w:szCs w:val="20"/>
          <w:color w:val="auto"/>
        </w:rPr>
      </w:pPr>
    </w:p>
    <w:p>
      <w:pPr>
        <w:ind w:left="1320" w:right="560" w:hanging="850"/>
        <w:spacing w:after="0" w:line="268" w:lineRule="auto"/>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2003</w:t>
      </w:r>
    </w:p>
    <w:p>
      <w:pPr>
        <w:spacing w:after="0" w:line="78" w:lineRule="exact"/>
        <w:rPr>
          <w:sz w:val="20"/>
          <w:szCs w:val="20"/>
          <w:color w:val="auto"/>
        </w:rPr>
      </w:pPr>
    </w:p>
    <w:p>
      <w:pPr>
        <w:ind w:left="1320" w:right="600" w:hanging="850"/>
        <w:spacing w:after="0" w:line="268" w:lineRule="auto"/>
        <w:tabs>
          <w:tab w:leader="none" w:pos="13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July 28, 2009</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14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14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1420" w:type="dxa"/>
            <w:vAlign w:val="bottom"/>
          </w:tcPr>
          <w:p>
            <w:pPr>
              <w:spacing w:after="0"/>
              <w:rPr>
                <w:sz w:val="20"/>
                <w:szCs w:val="20"/>
                <w:color w:val="auto"/>
              </w:rPr>
            </w:pPr>
            <w:r>
              <w:rPr>
                <w:rFonts w:ascii="Arial" w:cs="Arial" w:eastAsia="Arial" w:hAnsi="Arial"/>
                <w:sz w:val="18"/>
                <w:szCs w:val="18"/>
                <w:color w:val="auto"/>
              </w:rPr>
              <w:t>July 28, 2009</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14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Vice President of Finance, Chief</w:t>
            </w:r>
          </w:p>
        </w:tc>
      </w:tr>
      <w:tr>
        <w:trPr>
          <w:trHeight w:val="216"/>
        </w:trPr>
        <w:tc>
          <w:tcPr>
            <w:tcW w:w="14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Financial Officer and Secretary</w:t>
            </w:r>
          </w:p>
        </w:tc>
      </w:tr>
      <w:tr>
        <w:trPr>
          <w:trHeight w:val="216"/>
        </w:trPr>
        <w:tc>
          <w:tcPr>
            <w:tcW w:w="14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(Principal Financial and Accounting</w:t>
            </w:r>
          </w:p>
        </w:tc>
      </w:tr>
      <w:tr>
        <w:trPr>
          <w:trHeight w:val="222"/>
        </w:trPr>
        <w:tc>
          <w:tcPr>
            <w:tcW w:w="14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2009,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2009</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2009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Secretary</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3"/>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2019-12-10T16:35:26Z</dcterms:created>
  <dcterms:modified xsi:type="dcterms:W3CDTF">2019-12-10T16:35:26Z</dcterms:modified>
</cp:coreProperties>
</file>