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ACTIVE POWER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ACPW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TWO EXECUTIVE DRIVE</w:t>
            </w: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7"/>
          </w:tcPr>
          <w:p>
            <w:pPr>
              <w:ind w:left="160"/>
              <w:spacing w:after="0"/>
              <w:rPr>
                <w:sz w:val="20"/>
                <w:szCs w:val="20"/>
                <w:color w:val="auto"/>
              </w:rPr>
            </w:pPr>
            <w:r>
              <w:rPr>
                <w:rFonts w:ascii="Arial" w:cs="Arial" w:eastAsia="Arial" w:hAnsi="Arial"/>
                <w:sz w:val="18"/>
                <w:szCs w:val="18"/>
                <w:color w:val="0000FF"/>
              </w:rPr>
              <w:t>03/07/2012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585</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46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5"/>
                <w:szCs w:val="5"/>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11"/>
            <w:vMerge w:val="continue"/>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ind w:left="80"/>
              <w:spacing w:after="0" w:line="121" w:lineRule="exact"/>
              <w:rPr>
                <w:sz w:val="20"/>
                <w:szCs w:val="20"/>
                <w:color w:val="auto"/>
              </w:rPr>
            </w:pPr>
            <w:r>
              <w:rPr>
                <w:rFonts w:ascii="Arial" w:cs="Arial" w:eastAsia="Arial" w:hAnsi="Arial"/>
                <w:sz w:val="14"/>
                <w:szCs w:val="14"/>
                <w:color w:val="auto"/>
              </w:rPr>
              <w:t>Line)</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22"/>
          </w:tcPr>
          <w:p>
            <w:pPr>
              <w:jc w:val="center"/>
              <w:ind w:right="5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00" w:type="dxa"/>
            <w:vAlign w:val="bottom"/>
          </w:tcPr>
          <w:p>
            <w:pPr>
              <w:spacing w:after="0"/>
              <w:rPr>
                <w:sz w:val="15"/>
                <w:szCs w:val="15"/>
                <w:color w:val="auto"/>
              </w:rPr>
            </w:pPr>
          </w:p>
        </w:tc>
        <w:tc>
          <w:tcPr>
            <w:tcW w:w="1400" w:type="dxa"/>
            <w:vAlign w:val="bottom"/>
            <w:gridSpan w:val="5"/>
          </w:tcPr>
          <w:p>
            <w:pPr>
              <w:ind w:left="3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21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0" w:type="dxa"/>
            <w:vAlign w:val="bottom"/>
            <w:gridSpan w:val="5"/>
          </w:tcPr>
          <w:p>
            <w:pPr>
              <w:ind w:left="34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6"/>
          </w:tcPr>
          <w:p>
            <w:pPr>
              <w:ind w:left="840"/>
              <w:spacing w:after="0"/>
              <w:rPr>
                <w:sz w:val="20"/>
                <w:szCs w:val="20"/>
                <w:color w:val="auto"/>
              </w:rPr>
            </w:pPr>
            <w:r>
              <w:rPr>
                <w:rFonts w:ascii="Arial" w:cs="Arial" w:eastAsia="Arial" w:hAnsi="Arial"/>
                <w:sz w:val="18"/>
                <w:szCs w:val="18"/>
                <w:color w:val="0000FF"/>
              </w:rPr>
              <w:t>03/07/2012</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11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8,823,529</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0.68</w:t>
            </w:r>
          </w:p>
        </w:tc>
        <w:tc>
          <w:tcPr>
            <w:tcW w:w="124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17,632,985</w:t>
            </w:r>
          </w:p>
        </w:tc>
        <w:tc>
          <w:tcPr>
            <w:tcW w:w="960" w:type="dxa"/>
            <w:vAlign w:val="bottom"/>
            <w:tcBorders>
              <w:bottom w:val="single" w:sz="8" w:color="2C2C2C"/>
            </w:tcBorders>
          </w:tcPr>
          <w:p>
            <w:pPr>
              <w:ind w:left="2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21"/>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0" w:type="dxa"/>
            <w:vAlign w:val="bottom"/>
            <w:gridSpan w:val="18"/>
          </w:tcPr>
          <w:p>
            <w:pPr>
              <w:jc w:val="center"/>
              <w:ind w:right="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4"/>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TWO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585</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4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6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KINDERHOOK GP LLC</w:t>
              </w:r>
            </w:hyperlink>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TWO EXECUTIVE DRIVE</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585</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07024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KINDERHOOK CAPITAL MANAGEMENT,</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LLC</w:t>
        </w:r>
      </w:hyperlink>
    </w:p>
    <w:p>
      <w:pPr>
        <w:sectPr>
          <w:pgSz w:w="11900" w:h="16838" w:orient="portrait"/>
          <w:cols w:equalWidth="0" w:num="1">
            <w:col w:w="11420"/>
          </w:cols>
          <w:pgMar w:left="240" w:top="226" w:right="239" w:bottom="0" w:gutter="0" w:footer="0" w:header="0"/>
          <w:type w:val="continuous"/>
        </w:sectPr>
      </w:pPr>
    </w:p>
    <w:p>
      <w:pPr>
        <w:spacing w:after="0" w:line="31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t>TWO EXECUTIVE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-125730</wp:posOffset>
            </wp:positionV>
            <wp:extent cx="2924175" cy="4754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4754880"/>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SUITE 585</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1460" w:type="dxa"/>
            <w:vAlign w:val="bottom"/>
            <w:gridSpan w:val="2"/>
          </w:tcPr>
          <w:p>
            <w:pPr>
              <w:ind w:left="18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280" w:type="dxa"/>
            <w:vAlign w:val="bottom"/>
            <w:gridSpan w:val="2"/>
          </w:tcPr>
          <w:p>
            <w:pPr>
              <w:spacing w:after="0" w:line="224" w:lineRule="exact"/>
              <w:rPr>
                <w:rFonts w:ascii="Arial" w:cs="Arial" w:eastAsia="Arial" w:hAnsi="Arial"/>
                <w:sz w:val="22"/>
                <w:szCs w:val="22"/>
                <w:color w:val="0000EE"/>
                <w:w w:val="99"/>
              </w:rPr>
            </w:pPr>
            <w:hyperlink r:id="rId17">
              <w:r>
                <w:rPr>
                  <w:rFonts w:ascii="Arial" w:cs="Arial" w:eastAsia="Arial" w:hAnsi="Arial"/>
                  <w:sz w:val="22"/>
                  <w:szCs w:val="22"/>
                  <w:color w:val="0000EE"/>
                  <w:w w:val="99"/>
                </w:rPr>
                <w:t>Shah Tushar</w:t>
              </w:r>
            </w:hyperlink>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TWO EXECUTIVE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SUITE 585</w:t>
            </w: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1460" w:type="dxa"/>
            <w:vAlign w:val="bottom"/>
            <w:gridSpan w:val="2"/>
          </w:tcPr>
          <w:p>
            <w:pPr>
              <w:ind w:left="18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4"/>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CLEARMAN STEPHEN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Arial" w:cs="Arial" w:eastAsia="Arial" w:hAnsi="Arial"/>
                <w:sz w:val="18"/>
                <w:szCs w:val="18"/>
                <w:color w:val="0000FF"/>
              </w:rPr>
              <w:t>TWO EXECUTIVE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SUITE 585</w:t>
            </w: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8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FORT LEE</w:t>
            </w:r>
          </w:p>
        </w:tc>
        <w:tc>
          <w:tcPr>
            <w:tcW w:w="1460" w:type="dxa"/>
            <w:vAlign w:val="bottom"/>
            <w:gridSpan w:val="2"/>
          </w:tcPr>
          <w:p>
            <w:pPr>
              <w:ind w:left="180"/>
              <w:spacing w:after="0"/>
              <w:rPr>
                <w:sz w:val="20"/>
                <w:szCs w:val="20"/>
                <w:color w:val="auto"/>
              </w:rPr>
            </w:pPr>
            <w:r>
              <w:rPr>
                <w:rFonts w:ascii="Arial" w:cs="Arial" w:eastAsia="Arial" w:hAnsi="Arial"/>
                <w:sz w:val="18"/>
                <w:szCs w:val="18"/>
                <w:color w:val="0000FF"/>
              </w:rPr>
              <w:t>NJ</w:t>
            </w:r>
          </w:p>
        </w:tc>
        <w:tc>
          <w:tcPr>
            <w:tcW w:w="1600" w:type="dxa"/>
            <w:vAlign w:val="bottom"/>
          </w:tcPr>
          <w:p>
            <w:pPr>
              <w:ind w:left="18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8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Kinderhook Capital Management, LLC serves as the investment adviser to Kinderhook Partners, LP (the "Partnership"). Kinderhook GP, LLC serves as the general partner (the "General Partner") to the Partnership. Messrs. Tushar Shah and Stephen Clearman serve as the General Partner's managing members and as Kinderhook Capital Management, LLC's managing members and, in such capacities, are responsible for making investment decisions with respect to the Partnership. As a result, Mr. Shah and Mr. Clearman may be deemed to control such entities. Accordingly, Mr. Shah and Mr. Clearman may be deemed to have a beneficial interest in the shares of Common Stock by virtue of their indirect control of the Partnership's, the General Partner's and Kinderhook Capital Management, LLC's power to vote and/or dispose of the shares of Common Stock.</w:t>
      </w:r>
    </w:p>
    <w:p>
      <w:pPr>
        <w:spacing w:after="0" w:line="32" w:lineRule="exact"/>
        <w:rPr>
          <w:rFonts w:ascii="Arial" w:cs="Arial" w:eastAsia="Arial" w:hAnsi="Arial"/>
          <w:sz w:val="14"/>
          <w:szCs w:val="14"/>
          <w:color w:val="008000"/>
        </w:rPr>
      </w:pPr>
    </w:p>
    <w:p>
      <w:pPr>
        <w:ind w:left="20" w:right="280" w:firstLine="9"/>
        <w:spacing w:after="0" w:line="31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Mr. Shah and Mr. Clearman disclaim beneficial ownership of the shares of Common Stock except to the extent of his pecuniary interest, if any, therein. Kinderhook Capital Management, LLC specifically disclaims beneficial ownership in the shares of Common Stock reported herein except to the extent of its pecuniary interest, if any, therein.</w:t>
      </w:r>
    </w:p>
    <w:p>
      <w:pPr>
        <w:sectPr>
          <w:pgSz w:w="11900" w:h="16838" w:orient="portrait"/>
          <w:cols w:equalWidth="0" w:num="1">
            <w:col w:w="11220"/>
          </w:cols>
          <w:pgMar w:left="260" w:top="131" w:right="419" w:bottom="1440" w:gutter="0" w:footer="0" w:header="0"/>
        </w:sectPr>
      </w:pPr>
    </w:p>
    <w:p>
      <w:pPr>
        <w:spacing w:after="0" w:line="15"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Tushar Shah,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76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1976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 of Kinderhook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44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the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53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Kinderhook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11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Tushar Shah,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76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1976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Member of Kinderhook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446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10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Tushar Shah,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97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976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Member of Kinderhook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84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48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Tushar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89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89610" cy="8890"/>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Stephen J. Clearman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528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528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0000FF"/>
        </w:rPr>
        <w:t>03/08/2012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03/08/2012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03/08/2012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03/08/2012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03/08/2012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2">
            <w:col w:w="9060" w:space="80"/>
            <w:col w:w="2080"/>
          </w:cols>
          <w:pgMar w:left="260" w:top="131" w:right="4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60" w:top="131"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2" Type="http://schemas.openxmlformats.org/officeDocument/2006/relationships/hyperlink" Target="http://www.sec.gov/cgi-bin/browse-edgar?action=getcompany&amp;CIK=0001220338"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266402" TargetMode="External"/><Relationship Id="rId15" Type="http://schemas.openxmlformats.org/officeDocument/2006/relationships/hyperlink" Target="http://www.sec.gov/cgi-bin/browse-edgar?action=getcompany&amp;CIK=0001542439" TargetMode="External"/><Relationship Id="rId17" Type="http://schemas.openxmlformats.org/officeDocument/2006/relationships/hyperlink" Target="http://www.sec.gov/cgi-bin/browse-edgar?action=getcompany&amp;CIK=0001487632" TargetMode="External"/><Relationship Id="rId18" Type="http://schemas.openxmlformats.org/officeDocument/2006/relationships/hyperlink" Target="http://www.sec.gov/cgi-bin/browse-edgar?action=getcompany&amp;CIK=00010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2019-12-17T07:20:56Z</dcterms:created>
  <dcterms:modified xsi:type="dcterms:W3CDTF">2019-12-17T07:20:56Z</dcterms:modified>
</cp:coreProperties>
</file>