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February 28,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270510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tbl>
      <w:tblPr>
        <w:tblLayout w:type="fixed"/>
        <w:tblInd w:w="1100" w:type="dxa"/>
        <w:tblCellMar>
          <w:top w:w="0" w:type="dxa"/>
          <w:left w:w="0" w:type="dxa"/>
          <w:bottom w:w="0" w:type="dxa"/>
          <w:right w:w="0" w:type="dxa"/>
        </w:tblCellMar>
      </w:tblPr>
      <w:tr>
        <w:trPr>
          <w:trHeight w:val="218"/>
        </w:trPr>
        <w:tc>
          <w:tcPr>
            <w:tcW w:w="2260" w:type="dxa"/>
            <w:vAlign w:val="bottom"/>
          </w:tcPr>
          <w:p>
            <w:pPr>
              <w:jc w:val="center"/>
              <w:ind w:right="486"/>
              <w:spacing w:after="0"/>
              <w:rPr>
                <w:sz w:val="20"/>
                <w:szCs w:val="20"/>
                <w:color w:val="auto"/>
              </w:rPr>
            </w:pPr>
            <w:r>
              <w:rPr>
                <w:rFonts w:ascii="Arial" w:cs="Arial" w:eastAsia="Arial" w:hAnsi="Arial"/>
                <w:sz w:val="18"/>
                <w:szCs w:val="18"/>
                <w:b w:val="1"/>
                <w:bCs w:val="1"/>
                <w:color w:val="auto"/>
                <w:w w:val="88"/>
              </w:rPr>
              <w:t>Delaware</w:t>
            </w:r>
          </w:p>
        </w:tc>
        <w:tc>
          <w:tcPr>
            <w:tcW w:w="3540" w:type="dxa"/>
            <w:vAlign w:val="bottom"/>
            <w:gridSpan w:val="2"/>
          </w:tcPr>
          <w:p>
            <w:pPr>
              <w:jc w:val="right"/>
              <w:ind w:right="597"/>
              <w:spacing w:after="0"/>
              <w:rPr>
                <w:sz w:val="20"/>
                <w:szCs w:val="20"/>
                <w:color w:val="auto"/>
              </w:rPr>
            </w:pPr>
            <w:r>
              <w:rPr>
                <w:rFonts w:ascii="Arial" w:cs="Arial" w:eastAsia="Arial" w:hAnsi="Arial"/>
                <w:sz w:val="18"/>
                <w:szCs w:val="18"/>
                <w:b w:val="1"/>
                <w:bCs w:val="1"/>
                <w:color w:val="auto"/>
              </w:rPr>
              <w:t>000-30939</w:t>
            </w:r>
          </w:p>
        </w:tc>
        <w:tc>
          <w:tcPr>
            <w:tcW w:w="1380" w:type="dxa"/>
            <w:vAlign w:val="bottom"/>
          </w:tcPr>
          <w:p>
            <w:pPr>
              <w:spacing w:after="0"/>
              <w:rPr>
                <w:sz w:val="18"/>
                <w:szCs w:val="18"/>
                <w:color w:val="auto"/>
              </w:rPr>
            </w:pPr>
          </w:p>
        </w:tc>
        <w:tc>
          <w:tcPr>
            <w:tcW w:w="1840" w:type="dxa"/>
            <w:vAlign w:val="bottom"/>
          </w:tcPr>
          <w:p>
            <w:pPr>
              <w:jc w:val="center"/>
              <w:ind w:left="726"/>
              <w:spacing w:after="0"/>
              <w:rPr>
                <w:sz w:val="20"/>
                <w:szCs w:val="20"/>
                <w:color w:val="auto"/>
              </w:rPr>
            </w:pPr>
            <w:r>
              <w:rPr>
                <w:rFonts w:ascii="Arial" w:cs="Arial" w:eastAsia="Arial" w:hAnsi="Arial"/>
                <w:sz w:val="18"/>
                <w:szCs w:val="18"/>
                <w:b w:val="1"/>
                <w:bCs w:val="1"/>
                <w:color w:val="auto"/>
                <w:w w:val="87"/>
              </w:rPr>
              <w:t>74-2961657</w:t>
            </w:r>
          </w:p>
        </w:tc>
      </w:tr>
      <w:tr>
        <w:trPr>
          <w:trHeight w:val="149"/>
        </w:trPr>
        <w:tc>
          <w:tcPr>
            <w:tcW w:w="2260" w:type="dxa"/>
            <w:vAlign w:val="bottom"/>
          </w:tcPr>
          <w:p>
            <w:pPr>
              <w:jc w:val="center"/>
              <w:ind w:right="486"/>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160" w:type="dxa"/>
            <w:vAlign w:val="bottom"/>
          </w:tcPr>
          <w:p>
            <w:pPr>
              <w:spacing w:after="0"/>
              <w:rPr>
                <w:sz w:val="12"/>
                <w:szCs w:val="12"/>
                <w:color w:val="auto"/>
              </w:rPr>
            </w:pPr>
          </w:p>
        </w:tc>
        <w:tc>
          <w:tcPr>
            <w:tcW w:w="376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7"/>
              </w:rPr>
              <w:t>(Commission File Number)</w:t>
            </w:r>
          </w:p>
        </w:tc>
        <w:tc>
          <w:tcPr>
            <w:tcW w:w="1840" w:type="dxa"/>
            <w:vAlign w:val="bottom"/>
          </w:tcPr>
          <w:p>
            <w:pPr>
              <w:jc w:val="center"/>
              <w:ind w:left="72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260" w:type="dxa"/>
            <w:vAlign w:val="bottom"/>
          </w:tcPr>
          <w:p>
            <w:pPr>
              <w:jc w:val="center"/>
              <w:ind w:right="466"/>
              <w:spacing w:after="0"/>
              <w:rPr>
                <w:sz w:val="20"/>
                <w:szCs w:val="20"/>
                <w:color w:val="auto"/>
              </w:rPr>
            </w:pPr>
            <w:r>
              <w:rPr>
                <w:rFonts w:ascii="Arial" w:cs="Arial" w:eastAsia="Arial" w:hAnsi="Arial"/>
                <w:sz w:val="14"/>
                <w:szCs w:val="14"/>
                <w:b w:val="1"/>
                <w:bCs w:val="1"/>
                <w:color w:val="auto"/>
                <w:w w:val="88"/>
              </w:rPr>
              <w:t>incorporation)</w:t>
            </w:r>
          </w:p>
        </w:tc>
        <w:tc>
          <w:tcPr>
            <w:tcW w:w="11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40" w:type="dxa"/>
            <w:vAlign w:val="bottom"/>
          </w:tcPr>
          <w:p>
            <w:pPr>
              <w:jc w:val="center"/>
              <w:ind w:left="706"/>
              <w:spacing w:after="0"/>
              <w:rPr>
                <w:sz w:val="20"/>
                <w:szCs w:val="20"/>
                <w:color w:val="auto"/>
              </w:rPr>
            </w:pPr>
            <w:r>
              <w:rPr>
                <w:rFonts w:ascii="Arial" w:cs="Arial" w:eastAsia="Arial" w:hAnsi="Arial"/>
                <w:sz w:val="14"/>
                <w:szCs w:val="14"/>
                <w:b w:val="1"/>
                <w:bCs w:val="1"/>
                <w:color w:val="auto"/>
                <w:w w:val="89"/>
              </w:rPr>
              <w:t>Identification No.)</w:t>
            </w:r>
          </w:p>
        </w:tc>
      </w:tr>
      <w:tr>
        <w:trPr>
          <w:trHeight w:val="284"/>
        </w:trPr>
        <w:tc>
          <w:tcPr>
            <w:tcW w:w="2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57"/>
        </w:trPr>
        <w:tc>
          <w:tcPr>
            <w:tcW w:w="2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760" w:type="dxa"/>
            <w:vAlign w:val="bottom"/>
            <w:gridSpan w:val="2"/>
          </w:tcPr>
          <w:p>
            <w:pPr>
              <w:jc w:val="center"/>
              <w:ind w:right="1360"/>
              <w:spacing w:after="0"/>
              <w:rPr>
                <w:sz w:val="20"/>
                <w:szCs w:val="20"/>
                <w:color w:val="auto"/>
              </w:rPr>
            </w:pPr>
            <w:r>
              <w:rPr>
                <w:rFonts w:ascii="Arial" w:cs="Arial" w:eastAsia="Arial" w:hAnsi="Arial"/>
                <w:sz w:val="18"/>
                <w:szCs w:val="18"/>
                <w:b w:val="1"/>
                <w:bCs w:val="1"/>
                <w:color w:val="auto"/>
                <w:w w:val="91"/>
              </w:rPr>
              <w:t>2128 W. Braker Lane, BK12</w:t>
            </w:r>
          </w:p>
        </w:tc>
        <w:tc>
          <w:tcPr>
            <w:tcW w:w="1840" w:type="dxa"/>
            <w:vAlign w:val="bottom"/>
          </w:tcPr>
          <w:p>
            <w:pPr>
              <w:spacing w:after="0"/>
              <w:rPr>
                <w:sz w:val="24"/>
                <w:szCs w:val="24"/>
                <w:color w:val="auto"/>
              </w:rPr>
            </w:pPr>
          </w:p>
        </w:tc>
      </w:tr>
      <w:tr>
        <w:trPr>
          <w:trHeight w:val="218"/>
        </w:trPr>
        <w:tc>
          <w:tcPr>
            <w:tcW w:w="2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760" w:type="dxa"/>
            <w:vAlign w:val="bottom"/>
            <w:gridSpan w:val="2"/>
          </w:tcPr>
          <w:p>
            <w:pPr>
              <w:jc w:val="center"/>
              <w:ind w:right="1380"/>
              <w:spacing w:after="0"/>
              <w:rPr>
                <w:sz w:val="20"/>
                <w:szCs w:val="20"/>
                <w:color w:val="auto"/>
              </w:rPr>
            </w:pPr>
            <w:r>
              <w:rPr>
                <w:rFonts w:ascii="Arial" w:cs="Arial" w:eastAsia="Arial" w:hAnsi="Arial"/>
                <w:sz w:val="18"/>
                <w:szCs w:val="18"/>
                <w:b w:val="1"/>
                <w:bCs w:val="1"/>
                <w:color w:val="auto"/>
                <w:w w:val="87"/>
              </w:rPr>
              <w:t>Austin, Texas 78758</w:t>
            </w:r>
          </w:p>
        </w:tc>
        <w:tc>
          <w:tcPr>
            <w:tcW w:w="1840" w:type="dxa"/>
            <w:vAlign w:val="bottom"/>
          </w:tcPr>
          <w:p>
            <w:pPr>
              <w:spacing w:after="0"/>
              <w:rPr>
                <w:sz w:val="18"/>
                <w:szCs w:val="18"/>
                <w:color w:val="auto"/>
              </w:rPr>
            </w:pPr>
          </w:p>
        </w:tc>
      </w:tr>
      <w:tr>
        <w:trPr>
          <w:trHeight w:val="174"/>
        </w:trPr>
        <w:tc>
          <w:tcPr>
            <w:tcW w:w="2260" w:type="dxa"/>
            <w:vAlign w:val="bottom"/>
          </w:tcPr>
          <w:p>
            <w:pPr>
              <w:spacing w:after="0"/>
              <w:rPr>
                <w:sz w:val="15"/>
                <w:szCs w:val="15"/>
                <w:color w:val="auto"/>
              </w:rPr>
            </w:pPr>
          </w:p>
        </w:tc>
        <w:tc>
          <w:tcPr>
            <w:tcW w:w="49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(Address of principal executive offices, including zip code)</w:t>
            </w:r>
          </w:p>
        </w:tc>
        <w:tc>
          <w:tcPr>
            <w:tcW w:w="1840" w:type="dxa"/>
            <w:vAlign w:val="bottom"/>
          </w:tcPr>
          <w:p>
            <w:pPr>
              <w:spacing w:after="0"/>
              <w:rPr>
                <w:sz w:val="15"/>
                <w:szCs w:val="15"/>
                <w:color w:val="auto"/>
              </w:rPr>
            </w:pPr>
          </w:p>
        </w:tc>
      </w:tr>
      <w:tr>
        <w:trPr>
          <w:trHeight w:val="352"/>
        </w:trPr>
        <w:tc>
          <w:tcPr>
            <w:tcW w:w="2260" w:type="dxa"/>
            <w:vAlign w:val="bottom"/>
          </w:tcPr>
          <w:p>
            <w:pPr>
              <w:spacing w:after="0"/>
              <w:rPr>
                <w:sz w:val="24"/>
                <w:szCs w:val="24"/>
                <w:color w:val="auto"/>
              </w:rPr>
            </w:pPr>
          </w:p>
        </w:tc>
        <w:tc>
          <w:tcPr>
            <w:tcW w:w="3540" w:type="dxa"/>
            <w:vAlign w:val="bottom"/>
            <w:gridSpan w:val="2"/>
          </w:tcPr>
          <w:p>
            <w:pPr>
              <w:jc w:val="center"/>
              <w:ind w:left="1084"/>
              <w:spacing w:after="0"/>
              <w:rPr>
                <w:sz w:val="20"/>
                <w:szCs w:val="20"/>
                <w:color w:val="auto"/>
              </w:rPr>
            </w:pPr>
            <w:r>
              <w:rPr>
                <w:rFonts w:ascii="Arial" w:cs="Arial" w:eastAsia="Arial" w:hAnsi="Arial"/>
                <w:sz w:val="18"/>
                <w:szCs w:val="18"/>
                <w:b w:val="1"/>
                <w:bCs w:val="1"/>
                <w:color w:val="auto"/>
                <w:w w:val="89"/>
              </w:rPr>
              <w:t>(512) 836-6464</w:t>
            </w:r>
          </w:p>
        </w:tc>
        <w:tc>
          <w:tcPr>
            <w:tcW w:w="13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74"/>
        </w:trPr>
        <w:tc>
          <w:tcPr>
            <w:tcW w:w="2260" w:type="dxa"/>
            <w:vAlign w:val="bottom"/>
          </w:tcPr>
          <w:p>
            <w:pPr>
              <w:spacing w:after="0"/>
              <w:rPr>
                <w:sz w:val="15"/>
                <w:szCs w:val="15"/>
                <w:color w:val="auto"/>
              </w:rPr>
            </w:pPr>
          </w:p>
        </w:tc>
        <w:tc>
          <w:tcPr>
            <w:tcW w:w="49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840" w:type="dxa"/>
            <w:vAlign w:val="bottom"/>
          </w:tcPr>
          <w:p>
            <w:pPr>
              <w:spacing w:after="0"/>
              <w:rPr>
                <w:sz w:val="15"/>
                <w:szCs w:val="15"/>
                <w:color w:val="auto"/>
              </w:rPr>
            </w:pPr>
          </w:p>
        </w:tc>
      </w:tr>
      <w:tr>
        <w:trPr>
          <w:trHeight w:val="352"/>
        </w:trPr>
        <w:tc>
          <w:tcPr>
            <w:tcW w:w="2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760" w:type="dxa"/>
            <w:vAlign w:val="bottom"/>
            <w:gridSpan w:val="2"/>
          </w:tcPr>
          <w:p>
            <w:pPr>
              <w:jc w:val="center"/>
              <w:ind w:right="1360"/>
              <w:spacing w:after="0"/>
              <w:rPr>
                <w:sz w:val="20"/>
                <w:szCs w:val="20"/>
                <w:color w:val="auto"/>
              </w:rPr>
            </w:pPr>
            <w:r>
              <w:rPr>
                <w:rFonts w:ascii="Arial" w:cs="Arial" w:eastAsia="Arial" w:hAnsi="Arial"/>
                <w:sz w:val="18"/>
                <w:szCs w:val="18"/>
                <w:b w:val="1"/>
                <w:bCs w:val="1"/>
                <w:color w:val="auto"/>
                <w:w w:val="88"/>
              </w:rPr>
              <w:t>Not Applicable</w:t>
            </w:r>
          </w:p>
        </w:tc>
        <w:tc>
          <w:tcPr>
            <w:tcW w:w="1840" w:type="dxa"/>
            <w:vAlign w:val="bottom"/>
          </w:tcPr>
          <w:p>
            <w:pPr>
              <w:spacing w:after="0"/>
              <w:rPr>
                <w:sz w:val="24"/>
                <w:szCs w:val="24"/>
                <w:color w:val="auto"/>
              </w:rPr>
            </w:pPr>
          </w:p>
        </w:tc>
      </w:tr>
      <w:tr>
        <w:trPr>
          <w:trHeight w:val="174"/>
        </w:trPr>
        <w:tc>
          <w:tcPr>
            <w:tcW w:w="2260" w:type="dxa"/>
            <w:vAlign w:val="bottom"/>
          </w:tcPr>
          <w:p>
            <w:pPr>
              <w:spacing w:after="0"/>
              <w:rPr>
                <w:sz w:val="15"/>
                <w:szCs w:val="15"/>
                <w:color w:val="auto"/>
              </w:rPr>
            </w:pPr>
          </w:p>
        </w:tc>
        <w:tc>
          <w:tcPr>
            <w:tcW w:w="49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6"/>
              </w:rPr>
              <w:t>(Former name or former address, if changed since last report)</w:t>
            </w:r>
          </w:p>
        </w:tc>
        <w:tc>
          <w:tcPr>
            <w:tcW w:w="1840" w:type="dxa"/>
            <w:vAlign w:val="bottom"/>
          </w:tcPr>
          <w:p>
            <w:pPr>
              <w:spacing w:after="0"/>
              <w:rPr>
                <w:sz w:val="15"/>
                <w:szCs w:val="15"/>
                <w:color w:val="auto"/>
              </w:rPr>
            </w:pPr>
          </w:p>
        </w:tc>
      </w:tr>
    </w:tbl>
    <w:p>
      <w:pPr>
        <w:spacing w:after="0" w:line="14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422" w:right="639" w:bottom="1440" w:gutter="0" w:footer="0" w:header="0"/>
        </w:sectPr>
      </w:pPr>
    </w:p>
    <w:bookmarkStart w:id="1" w:name="page2"/>
    <w:bookmarkEnd w:id="1"/>
    <w:p>
      <w:pPr>
        <w:ind w:left="1140" w:right="340" w:hanging="1133"/>
        <w:spacing w:after="0" w:line="275" w:lineRule="auto"/>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2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February 28, 2008, the Compensation Committee (the “Committee”) of the Board of Directors of Active Power, Inc., a Delaware corporation (the “Company”), approved certain changes to the Company’s severance arrangements with James A. Clishem, the Company’s Chief Executive Officer and President, and John K. Penver, the Company’s Chief Financial Officer, as follows:</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change in control agreements that we currently have with Mr. Clishem and Mr. Penver provide that if within 12 months following a change in control the executive officer’s employment is terminated for reasons other than cause, as defined, or by the executive for good reason, including a reduction in role and/or responsibilities of the executive within 12 months of a change in control, then certain amounts of severance pay and health benefits would be payable.</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have modified the contract with Mr. Clishem such that the amount of severance payable to Mr. Clishem was increased from a severance payment equal to six months of salary and health benefits to one equal to 12 months of salary and health benefits.</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have modified the contract with Mr. Penver such that the amount of severance payable to Mr. Penver was increased from a severance payment equal to four months of salary to one equal to nine-months of salary and health benefits.</w:t>
      </w:r>
    </w:p>
    <w:p>
      <w:pPr>
        <w:sectPr>
          <w:pgSz w:w="11900" w:h="16838" w:orient="portrait"/>
          <w:cols w:equalWidth="0" w:num="1">
            <w:col w:w="11400"/>
          </w:cols>
          <w:pgMar w:left="240" w:top="274"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ACTIVE POWER, INC.</w:t>
            </w:r>
          </w:p>
        </w:tc>
      </w:tr>
      <w:tr>
        <w:trPr>
          <w:trHeight w:val="433"/>
        </w:trPr>
        <w:tc>
          <w:tcPr>
            <w:tcW w:w="3760" w:type="dxa"/>
            <w:vAlign w:val="bottom"/>
          </w:tcPr>
          <w:p>
            <w:pPr>
              <w:spacing w:after="0"/>
              <w:rPr>
                <w:sz w:val="20"/>
                <w:szCs w:val="20"/>
                <w:color w:val="auto"/>
              </w:rPr>
            </w:pPr>
            <w:r>
              <w:rPr>
                <w:rFonts w:ascii="Arial" w:cs="Arial" w:eastAsia="Arial" w:hAnsi="Arial"/>
                <w:sz w:val="18"/>
                <w:szCs w:val="18"/>
                <w:color w:val="auto"/>
              </w:rPr>
              <w:t>Date: March 5, 2008</w:t>
            </w:r>
          </w:p>
        </w:tc>
        <w:tc>
          <w:tcPr>
            <w:tcW w:w="7660" w:type="dxa"/>
            <w:vAlign w:val="bottom"/>
            <w:gridSpan w:val="2"/>
          </w:tcPr>
          <w:p>
            <w:pPr>
              <w:ind w:left="2280"/>
              <w:spacing w:after="0"/>
              <w:rPr>
                <w:sz w:val="20"/>
                <w:szCs w:val="20"/>
                <w:color w:val="auto"/>
              </w:rPr>
            </w:pPr>
            <w:r>
              <w:rPr>
                <w:rFonts w:ascii="Arial" w:cs="Arial" w:eastAsia="Arial" w:hAnsi="Arial"/>
                <w:sz w:val="18"/>
                <w:szCs w:val="18"/>
                <w:color w:val="auto"/>
              </w:rPr>
              <w:t>By:  /s/ John Penver</w:t>
            </w:r>
          </w:p>
        </w:tc>
      </w:tr>
      <w:tr>
        <w:trPr>
          <w:trHeight w:val="202"/>
        </w:trPr>
        <w:tc>
          <w:tcPr>
            <w:tcW w:w="37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John Penver</w:t>
            </w:r>
          </w:p>
        </w:tc>
      </w:tr>
      <w:tr>
        <w:trPr>
          <w:trHeight w:val="222"/>
        </w:trPr>
        <w:tc>
          <w:tcPr>
            <w:tcW w:w="37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2019-12-14T17:57:00Z</dcterms:created>
  <dcterms:modified xsi:type="dcterms:W3CDTF">2019-12-14T17:57:00Z</dcterms:modified>
</cp:coreProperties>
</file>