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12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1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12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6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80" w:type="dxa"/>
            <w:vAlign w:val="bottom"/>
          </w:tcPr>
          <w:p>
            <w:pPr>
              <w:ind w:left="180"/>
              <w:spacing w:after="0"/>
              <w:rPr>
                <w:sz w:val="20"/>
                <w:szCs w:val="20"/>
                <w:color w:val="auto"/>
              </w:rPr>
            </w:pPr>
            <w:r>
              <w:rPr>
                <w:rFonts w:ascii="Arial" w:cs="Arial" w:eastAsia="Arial" w:hAnsi="Arial"/>
                <w:sz w:val="18"/>
                <w:szCs w:val="18"/>
                <w:b w:val="1"/>
                <w:bCs w:val="1"/>
                <w:color w:val="auto"/>
                <w:w w:val="87"/>
              </w:rPr>
              <w:t>Commission file number: 000-30939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440" w:type="dxa"/>
            <w:vAlign w:val="bottom"/>
          </w:tcPr>
          <w:p>
            <w:pPr>
              <w:jc w:val="center"/>
              <w:ind w:right="314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440" w:type="dxa"/>
            <w:vAlign w:val="bottom"/>
          </w:tcPr>
          <w:p>
            <w:pPr>
              <w:jc w:val="center"/>
              <w:ind w:right="31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440" w:type="dxa"/>
            <w:vAlign w:val="bottom"/>
          </w:tcPr>
          <w:p>
            <w:pPr>
              <w:jc w:val="center"/>
              <w:ind w:right="316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440" w:type="dxa"/>
            <w:vAlign w:val="bottom"/>
          </w:tcPr>
          <w:p>
            <w:pPr>
              <w:jc w:val="center"/>
              <w:ind w:right="3144"/>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440" w:type="dxa"/>
            <w:vAlign w:val="bottom"/>
          </w:tcPr>
          <w:p>
            <w:pPr>
              <w:jc w:val="center"/>
              <w:ind w:right="31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40" w:type="dxa"/>
            <w:vAlign w:val="bottom"/>
          </w:tcPr>
          <w:p>
            <w:pPr>
              <w:jc w:val="right"/>
              <w:ind w:right="1364"/>
              <w:spacing w:after="0"/>
              <w:rPr>
                <w:sz w:val="20"/>
                <w:szCs w:val="20"/>
                <w:color w:val="auto"/>
              </w:rPr>
            </w:pPr>
            <w:r>
              <w:rPr>
                <w:rFonts w:ascii="Arial" w:cs="Arial" w:eastAsia="Arial" w:hAnsi="Arial"/>
                <w:sz w:val="18"/>
                <w:szCs w:val="18"/>
                <w:b w:val="1"/>
                <w:bCs w:val="1"/>
                <w:color w:val="auto"/>
              </w:rPr>
              <w:t>(512) 836-6464</w:t>
            </w:r>
          </w:p>
        </w:tc>
        <w:tc>
          <w:tcPr>
            <w:tcW w:w="1520" w:type="dxa"/>
            <w:vAlign w:val="bottom"/>
          </w:tcPr>
          <w:p>
            <w:pPr>
              <w:spacing w:after="0"/>
              <w:rPr>
                <w:sz w:val="24"/>
                <w:szCs w:val="24"/>
                <w:color w:val="auto"/>
              </w:rPr>
            </w:pPr>
          </w:p>
        </w:tc>
      </w:tr>
      <w:tr>
        <w:trPr>
          <w:trHeight w:val="174"/>
        </w:trPr>
        <w:tc>
          <w:tcPr>
            <w:tcW w:w="6440" w:type="dxa"/>
            <w:vAlign w:val="bottom"/>
          </w:tcPr>
          <w:p>
            <w:pPr>
              <w:jc w:val="center"/>
              <w:ind w:left="2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33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“accelerated filer”, “large accelerated filer” and “smaller reporting company” in Rule 12b-2 of the Exchange Act. (Check one)</w:t>
      </w:r>
    </w:p>
    <w:p>
      <w:pPr>
        <w:sectPr>
          <w:pgSz w:w="11900" w:h="16838" w:orient="portrait"/>
          <w:cols w:equalWidth="0" w:num="1">
            <w:col w:w="11200"/>
          </w:cols>
          <w:pgMar w:left="240" w:top="230" w:right="459" w:bottom="1440" w:gutter="0" w:footer="0" w:header="0"/>
        </w:sectPr>
      </w:pPr>
    </w:p>
    <w:p>
      <w:pPr>
        <w:spacing w:after="0" w:line="126"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ind w:left="80"/>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tabs>
          <w:tab w:leader="none" w:pos="136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4">
            <w:col w:w="1660" w:space="100"/>
            <w:col w:w="3140" w:space="720"/>
            <w:col w:w="2020" w:space="160"/>
            <w:col w:w="3400"/>
          </w:cols>
          <w:pgMar w:left="240" w:top="230" w:right="459" w:bottom="1440" w:gutter="0" w:footer="0" w:header="0"/>
          <w:type w:val="continuous"/>
        </w:sectPr>
      </w:pPr>
    </w:p>
    <w:p>
      <w:pPr>
        <w:spacing w:after="0"/>
        <w:rPr>
          <w:sz w:val="20"/>
          <w:szCs w:val="20"/>
          <w:color w:val="auto"/>
        </w:rPr>
      </w:pPr>
      <w:r>
        <w:rPr>
          <w:rFonts w:ascii="Arial" w:cs="Arial" w:eastAsia="Arial" w:hAnsi="Arial"/>
          <w:sz w:val="18"/>
          <w:szCs w:val="18"/>
          <w:color w:val="auto"/>
        </w:rPr>
        <w:t>(Do not check if a smaller reporting company)</w:t>
      </w:r>
    </w:p>
    <w:p>
      <w:pPr>
        <w:spacing w:after="0" w:line="139" w:lineRule="exact"/>
        <w:rPr>
          <w:sz w:val="24"/>
          <w:szCs w:val="24"/>
          <w:color w:val="auto"/>
        </w:rPr>
      </w:pPr>
    </w:p>
    <w:p>
      <w:pPr>
        <w:ind w:left="460"/>
        <w:spacing w:after="0" w:line="207" w:lineRule="exact"/>
        <w:tabs>
          <w:tab w:leader="none" w:pos="86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04"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APPLICABLE ONLY TO CORPORATE ISSUERS:</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88"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The number of shares of common stock, par value of $0.001 per share, outstanding at July 24, 2008 was 60,458,311.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230" w:right="4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Consolidated Financial Statements.</w:t>
              </w:r>
            </w:hyperlink>
          </w:p>
        </w:tc>
        <w:tc>
          <w:tcPr>
            <w:tcW w:w="6020" w:type="dxa"/>
            <w:vAlign w:val="bottom"/>
            <w:gridSpan w:val="5"/>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69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Item 2. Management’s Discussion and Analysis of Financial Condition and Results of Operations.</w:t>
              </w:r>
            </w:hyperlink>
          </w:p>
        </w:tc>
        <w:tc>
          <w:tcPr>
            <w:tcW w:w="21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7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Item 3. Quantitative and Qualitative Disclosures about Market Risk</w:t>
              </w:r>
            </w:hyperlink>
          </w:p>
        </w:tc>
        <w:tc>
          <w:tcPr>
            <w:tcW w:w="430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22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Item 4. Controls and Procedures</w:t>
              </w:r>
            </w:hyperlink>
          </w:p>
        </w:tc>
        <w:tc>
          <w:tcPr>
            <w:tcW w:w="6780" w:type="dxa"/>
            <w:vAlign w:val="bottom"/>
            <w:gridSpan w:val="8"/>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9060" w:type="dxa"/>
            <w:vAlign w:val="bottom"/>
            <w:gridSpan w:val="1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PART II – 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8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Item 1. Legal Proceedings</w:t>
              </w:r>
            </w:hyperlink>
          </w:p>
        </w:tc>
        <w:tc>
          <w:tcPr>
            <w:tcW w:w="740" w:type="dxa"/>
            <w:vAlign w:val="bottom"/>
            <w:tcBorders>
              <w:top w:val="single" w:sz="8" w:color="0000EE"/>
            </w:tcBorders>
            <w:gridSpan w:val="3"/>
          </w:tcPr>
          <w:p>
            <w:pPr>
              <w:spacing w:after="0"/>
              <w:rPr>
                <w:sz w:val="24"/>
                <w:szCs w:val="24"/>
                <w:color w:val="auto"/>
              </w:rPr>
            </w:pPr>
          </w:p>
        </w:tc>
        <w:tc>
          <w:tcPr>
            <w:tcW w:w="6460" w:type="dxa"/>
            <w:vAlign w:val="bottom"/>
            <w:gridSpan w:val="7"/>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5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Item 1A. Risk Factors</w:t>
              </w:r>
            </w:hyperlink>
          </w:p>
        </w:tc>
        <w:tc>
          <w:tcPr>
            <w:tcW w:w="7500" w:type="dxa"/>
            <w:vAlign w:val="bottom"/>
            <w:gridSpan w:val="11"/>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48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Item 2. Unregistered Sales of Equity Securities and Use of Proceeds.</w:t>
              </w:r>
            </w:hyperlink>
          </w:p>
        </w:tc>
        <w:tc>
          <w:tcPr>
            <w:tcW w:w="42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520" w:type="dxa"/>
            <w:vAlign w:val="bottom"/>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3.</w:t>
              </w:r>
            </w:hyperlink>
          </w:p>
        </w:tc>
        <w:tc>
          <w:tcPr>
            <w:tcW w:w="8540" w:type="dxa"/>
            <w:vAlign w:val="bottom"/>
            <w:gridSpan w:val="13"/>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Defaults Upon Senior Securities.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4.</w:t>
              </w:r>
            </w:hyperlink>
          </w:p>
        </w:tc>
        <w:tc>
          <w:tcPr>
            <w:tcW w:w="8540" w:type="dxa"/>
            <w:vAlign w:val="bottom"/>
            <w:gridSpan w:val="13"/>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Submission of Matters to a Vote of Security Holders.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5.</w:t>
              </w:r>
            </w:hyperlink>
          </w:p>
        </w:tc>
        <w:tc>
          <w:tcPr>
            <w:tcW w:w="136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Other Information.</w:t>
              </w:r>
            </w:hyperlink>
          </w:p>
        </w:tc>
        <w:tc>
          <w:tcPr>
            <w:tcW w:w="2380" w:type="dxa"/>
            <w:vAlign w:val="bottom"/>
            <w:tcBorders>
              <w:top w:val="single" w:sz="8" w:color="0000EE"/>
            </w:tcBorders>
            <w:gridSpan w:val="5"/>
          </w:tcPr>
          <w:p>
            <w:pPr>
              <w:spacing w:after="0"/>
              <w:rPr>
                <w:sz w:val="24"/>
                <w:szCs w:val="24"/>
                <w:color w:val="auto"/>
              </w:rPr>
            </w:pPr>
          </w:p>
        </w:tc>
        <w:tc>
          <w:tcPr>
            <w:tcW w:w="48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6.</w:t>
              </w:r>
            </w:hyperlink>
          </w:p>
        </w:tc>
        <w:tc>
          <w:tcPr>
            <w:tcW w:w="8540" w:type="dxa"/>
            <w:vAlign w:val="bottom"/>
            <w:gridSpan w:val="13"/>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Exhibits.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83"/>
        </w:trPr>
        <w:tc>
          <w:tcPr>
            <w:tcW w:w="5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gridSpan w:val="2"/>
          </w:tcPr>
          <w:p>
            <w:pPr>
              <w:ind w:left="840"/>
              <w:spacing w:after="0"/>
              <w:rPr>
                <w:sz w:val="20"/>
                <w:szCs w:val="20"/>
                <w:color w:val="auto"/>
              </w:rPr>
            </w:pPr>
            <w:r>
              <w:rPr>
                <w:rFonts w:ascii="Arial" w:cs="Arial" w:eastAsia="Arial" w:hAnsi="Arial"/>
                <w:sz w:val="18"/>
                <w:szCs w:val="18"/>
                <w:color w:val="auto"/>
              </w:rPr>
              <w:t>i</w:t>
            </w:r>
          </w:p>
        </w:tc>
        <w:tc>
          <w:tcPr>
            <w:tcW w:w="2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3140" w:type="dxa"/>
            <w:vAlign w:val="bottom"/>
          </w:tcPr>
          <w:p>
            <w:pPr>
              <w:ind w:left="180"/>
              <w:spacing w:after="0"/>
              <w:rPr>
                <w:sz w:val="20"/>
                <w:szCs w:val="20"/>
                <w:color w:val="auto"/>
              </w:rPr>
            </w:pPr>
            <w:r>
              <w:rPr>
                <w:rFonts w:ascii="Arial" w:cs="Arial" w:eastAsia="Arial" w:hAnsi="Arial"/>
                <w:sz w:val="18"/>
                <w:szCs w:val="18"/>
                <w:color w:val="auto"/>
              </w:rPr>
              <w:t>Consolidated Financial Statements.</w:t>
            </w: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6"/>
        </w:trPr>
        <w:tc>
          <w:tcPr>
            <w:tcW w:w="8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20" w:type="dxa"/>
            <w:vAlign w:val="bottom"/>
            <w:gridSpan w:val="2"/>
          </w:tcPr>
          <w:p>
            <w:pPr>
              <w:jc w:val="center"/>
              <w:ind w:right="1912"/>
              <w:spacing w:after="0"/>
              <w:rPr>
                <w:sz w:val="20"/>
                <w:szCs w:val="20"/>
                <w:color w:val="auto"/>
              </w:rPr>
            </w:pPr>
            <w:r>
              <w:rPr>
                <w:rFonts w:ascii="Arial" w:cs="Arial" w:eastAsia="Arial" w:hAnsi="Arial"/>
                <w:sz w:val="18"/>
                <w:szCs w:val="18"/>
                <w:b w:val="1"/>
                <w:bCs w:val="1"/>
                <w:color w:val="auto"/>
                <w:w w:val="88"/>
              </w:rPr>
              <w:t>Active Power, Inc.</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8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420" w:type="dxa"/>
            <w:vAlign w:val="bottom"/>
            <w:gridSpan w:val="2"/>
          </w:tcPr>
          <w:p>
            <w:pPr>
              <w:jc w:val="center"/>
              <w:ind w:right="193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8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420" w:type="dxa"/>
            <w:vAlign w:val="bottom"/>
            <w:gridSpan w:val="2"/>
          </w:tcPr>
          <w:p>
            <w:pPr>
              <w:jc w:val="center"/>
              <w:ind w:right="1912"/>
              <w:spacing w:after="0"/>
              <w:rPr>
                <w:sz w:val="20"/>
                <w:szCs w:val="20"/>
                <w:color w:val="auto"/>
              </w:rPr>
            </w:pPr>
            <w:r>
              <w:rPr>
                <w:rFonts w:ascii="Arial" w:cs="Arial" w:eastAsia="Arial" w:hAnsi="Arial"/>
                <w:sz w:val="18"/>
                <w:szCs w:val="18"/>
                <w:color w:val="auto"/>
                <w:w w:val="87"/>
              </w:rPr>
              <w:t>(in thousands)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40"/>
        </w:trPr>
        <w:tc>
          <w:tcPr>
            <w:tcW w:w="8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8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142"/>
        </w:trPr>
        <w:tc>
          <w:tcPr>
            <w:tcW w:w="8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14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3"/>
        </w:trPr>
        <w:tc>
          <w:tcPr>
            <w:tcW w:w="4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12,298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ind w:left="440"/>
              <w:spacing w:after="0"/>
              <w:rPr>
                <w:sz w:val="20"/>
                <w:szCs w:val="20"/>
                <w:color w:val="auto"/>
              </w:rPr>
            </w:pPr>
            <w:r>
              <w:rPr>
                <w:rFonts w:ascii="Arial" w:cs="Arial" w:eastAsia="Arial" w:hAnsi="Arial"/>
                <w:sz w:val="18"/>
                <w:szCs w:val="18"/>
                <w:color w:val="auto"/>
                <w:w w:val="93"/>
              </w:rPr>
              <w:t>Short-term investments in marketable securities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6,581</w:t>
            </w:r>
          </w:p>
        </w:tc>
        <w:tc>
          <w:tcPr>
            <w:tcW w:w="6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8,678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9,198</w:t>
            </w:r>
          </w:p>
        </w:tc>
        <w:tc>
          <w:tcPr>
            <w:tcW w:w="6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5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8"/>
                <w:szCs w:val="18"/>
                <w:color w:val="auto"/>
              </w:rPr>
            </w:pPr>
          </w:p>
        </w:tc>
      </w:tr>
      <w:tr>
        <w:trPr>
          <w:trHeight w:val="221"/>
        </w:trPr>
        <w:tc>
          <w:tcPr>
            <w:tcW w:w="86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28,158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37,000</w:t>
            </w:r>
          </w:p>
        </w:tc>
        <w:tc>
          <w:tcPr>
            <w:tcW w:w="60" w:type="dxa"/>
            <w:vAlign w:val="bottom"/>
          </w:tcPr>
          <w:p>
            <w:pPr>
              <w:spacing w:after="0"/>
              <w:rPr>
                <w:sz w:val="19"/>
                <w:szCs w:val="19"/>
                <w:color w:val="auto"/>
              </w:rPr>
            </w:pPr>
          </w:p>
        </w:tc>
      </w:tr>
      <w:tr>
        <w:trPr>
          <w:trHeight w:val="218"/>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Long-term investments in marketable securities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82"/>
              </w:rPr>
              <w:t>Other assets</w:t>
            </w:r>
          </w:p>
        </w:tc>
        <w:tc>
          <w:tcPr>
            <w:tcW w:w="314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r>
      <w:tr>
        <w:trPr>
          <w:trHeight w:val="222"/>
        </w:trPr>
        <w:tc>
          <w:tcPr>
            <w:tcW w:w="86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5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35,029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43,326</w:t>
            </w:r>
          </w:p>
        </w:tc>
        <w:tc>
          <w:tcPr>
            <w:tcW w:w="6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4,681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5,793</w:t>
            </w:r>
          </w:p>
        </w:tc>
        <w:tc>
          <w:tcPr>
            <w:tcW w:w="6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5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60" w:type="dxa"/>
            <w:vAlign w:val="bottom"/>
            <w:shd w:val="clear" w:color="auto" w:fill="CCEEFF"/>
          </w:tcPr>
          <w:p>
            <w:pPr>
              <w:spacing w:after="0"/>
              <w:rPr>
                <w:sz w:val="18"/>
                <w:szCs w:val="18"/>
                <w:color w:val="auto"/>
              </w:rPr>
            </w:pPr>
          </w:p>
        </w:tc>
      </w:tr>
      <w:tr>
        <w:trPr>
          <w:trHeight w:val="221"/>
        </w:trPr>
        <w:tc>
          <w:tcPr>
            <w:tcW w:w="40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9,558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10,053</w:t>
            </w:r>
          </w:p>
        </w:tc>
        <w:tc>
          <w:tcPr>
            <w:tcW w:w="60" w:type="dxa"/>
            <w:vAlign w:val="bottom"/>
          </w:tcPr>
          <w:p>
            <w:pPr>
              <w:spacing w:after="0"/>
              <w:rPr>
                <w:sz w:val="19"/>
                <w:szCs w:val="19"/>
                <w:color w:val="auto"/>
              </w:rPr>
            </w:pPr>
          </w:p>
        </w:tc>
      </w:tr>
      <w:tr>
        <w:trPr>
          <w:trHeight w:val="218"/>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ind w:left="440"/>
              <w:spacing w:after="0"/>
              <w:rPr>
                <w:sz w:val="20"/>
                <w:szCs w:val="20"/>
                <w:color w:val="auto"/>
              </w:rPr>
            </w:pPr>
            <w:r>
              <w:rPr>
                <w:rFonts w:ascii="Arial" w:cs="Arial" w:eastAsia="Arial" w:hAnsi="Arial"/>
                <w:sz w:val="18"/>
                <w:szCs w:val="18"/>
                <w:color w:val="auto"/>
              </w:rPr>
              <w:t>Treasury stock</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259,458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258,630</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ind w:left="440"/>
              <w:spacing w:after="0"/>
              <w:rPr>
                <w:sz w:val="20"/>
                <w:szCs w:val="20"/>
                <w:color w:val="auto"/>
              </w:rPr>
            </w:pPr>
            <w:r>
              <w:rPr>
                <w:rFonts w:ascii="Arial" w:cs="Arial" w:eastAsia="Arial" w:hAnsi="Arial"/>
                <w:sz w:val="18"/>
                <w:szCs w:val="18"/>
                <w:color w:val="auto"/>
              </w:rPr>
              <w:t>Accumulated deficit</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(234,297)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(225,401)</w:t>
            </w:r>
          </w:p>
        </w:tc>
      </w:tr>
      <w:tr>
        <w:trPr>
          <w:trHeight w:val="216"/>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accumulated comprehensive income</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6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5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33,248</w:t>
            </w:r>
          </w:p>
        </w:tc>
        <w:tc>
          <w:tcPr>
            <w:tcW w:w="60" w:type="dxa"/>
            <w:vAlign w:val="bottom"/>
          </w:tcPr>
          <w:p>
            <w:pPr>
              <w:spacing w:after="0"/>
              <w:rPr>
                <w:sz w:val="20"/>
                <w:szCs w:val="20"/>
                <w:color w:val="auto"/>
              </w:rPr>
            </w:pPr>
          </w:p>
        </w:tc>
      </w:tr>
      <w:tr>
        <w:trPr>
          <w:trHeight w:val="216"/>
        </w:trPr>
        <w:tc>
          <w:tcPr>
            <w:tcW w:w="860" w:type="dxa"/>
            <w:vAlign w:val="bottom"/>
            <w:shd w:val="clear" w:color="auto" w:fill="CCEEFF"/>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liabilities and stockholders’ equity</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35,029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43,326</w:t>
            </w:r>
          </w:p>
        </w:tc>
        <w:tc>
          <w:tcPr>
            <w:tcW w:w="60" w:type="dxa"/>
            <w:vAlign w:val="bottom"/>
            <w:shd w:val="clear" w:color="auto" w:fill="CCEEFF"/>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86"/>
              </w:rPr>
              <w:t>Three Months Ended</w:t>
            </w:r>
          </w:p>
        </w:tc>
        <w:tc>
          <w:tcPr>
            <w:tcW w:w="80" w:type="dxa"/>
            <w:vAlign w:val="bottom"/>
          </w:tcPr>
          <w:p>
            <w:pPr>
              <w:spacing w:after="0"/>
              <w:rPr>
                <w:sz w:val="14"/>
                <w:szCs w:val="14"/>
                <w:color w:val="auto"/>
              </w:rPr>
            </w:pPr>
          </w:p>
        </w:tc>
        <w:tc>
          <w:tcPr>
            <w:tcW w:w="14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4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11,840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9,182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14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4,765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6,469</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10,422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11,380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7,635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2,621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6,403</w:t>
            </w:r>
          </w:p>
        </w:tc>
        <w:tc>
          <w:tcPr>
            <w:tcW w:w="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11,079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(4,603)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(4,856)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(9,354)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(11,479)</w:t>
            </w:r>
          </w:p>
        </w:tc>
        <w:tc>
          <w:tcPr>
            <w:tcW w:w="0" w:type="dxa"/>
            <w:vAlign w:val="bottom"/>
          </w:tcPr>
          <w:p>
            <w:pPr>
              <w:spacing w:after="0"/>
              <w:rPr>
                <w:sz w:val="1"/>
                <w:szCs w:val="1"/>
                <w:color w:val="auto"/>
              </w:rPr>
            </w:pPr>
          </w:p>
        </w:tc>
      </w:tr>
      <w:tr>
        <w:trPr>
          <w:trHeight w:val="322"/>
        </w:trPr>
        <w:tc>
          <w:tcPr>
            <w:tcW w:w="81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(4,427)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(4,646)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(8,896)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(11,070)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60,124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50,090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60,124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(4,427)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(4,646)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(8,896)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(11,070)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on subsidiaries in foreign currencies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Change in unrealized loss on investments in marketable securities</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(4,280)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(4,603)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(8,576)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5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5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 (8,896)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928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Accretion of premium/discount on marketable securities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disposal of fixed assets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ind w:left="860"/>
              <w:spacing w:after="0"/>
              <w:rPr>
                <w:sz w:val="20"/>
                <w:szCs w:val="20"/>
                <w:color w:val="auto"/>
              </w:rPr>
            </w:pPr>
            <w:r>
              <w:rPr>
                <w:rFonts w:ascii="Arial" w:cs="Arial" w:eastAsia="Arial" w:hAnsi="Arial"/>
                <w:sz w:val="18"/>
                <w:szCs w:val="18"/>
                <w:color w:val="auto"/>
              </w:rPr>
              <w:t>Long term liabilities</w:t>
            </w: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322"/>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7,172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Sales of property and equipment</w:t>
            </w: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provided by financing activities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60" w:type="dxa"/>
            <w:vAlign w:val="bottom"/>
            <w:gridSpan w:val="2"/>
          </w:tcPr>
          <w:p>
            <w:pPr>
              <w:spacing w:after="0"/>
              <w:rPr>
                <w:sz w:val="20"/>
                <w:szCs w:val="20"/>
                <w:color w:val="auto"/>
              </w:rPr>
            </w:pPr>
            <w:r>
              <w:rPr>
                <w:rFonts w:ascii="Arial" w:cs="Arial" w:eastAsia="Arial" w:hAnsi="Arial"/>
                <w:sz w:val="18"/>
                <w:szCs w:val="18"/>
                <w:color w:val="auto"/>
              </w:rPr>
              <w:t>Translation gain (loss) on subsidiaries in foreign currencies</w:t>
            </w:r>
          </w:p>
        </w:tc>
        <w:tc>
          <w:tcPr>
            <w:tcW w:w="58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12,298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Active Power, Inc. and its subsidiaries (hereinafter referred to as “we”, “us”, “Active Power” or the “Company”) design,</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and market critical power quality solutions that provide business continuity and protect customers in the event of an electrical power disturbance. Our products are designed to provide power quality to protect customers from voltage fluctuations, such as surges and sags, and frequency fluctuations, and also to provide ride-through, or temporary, power to bridge the gap between a power outage and the restoration of utility power, or the time required to switch to electrical generator power. We target global enterprises with zero tolerance for downtime in their mission critical business operations. The Uninterruptible Power Supply (“UPS”) products we manufacture utilize green technologies to create a renewable energy source. We sell our products globally through direct, manufacturer’s representative and Original Equipment Manufacturer (“OEM”) channels. Our current principal markets are North America and Europe, Middle East and Africa (“EMEA”).</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and include the accounts of the Company and its consolidated subsidiaries. In the opinion of management, the accompanying unaudited condensed consolidated financial statements contain all adjustments necessary to present fairly the consolidated financial position of the Company and its consolidated results of operations and cash flows. These interim financial statements should be read in conjunction with the financial statements and accompanying notes included in the Company’s Annual Report on Form 10-K for the year ended December 31, 2007.</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In December 2007, the FASB issued Statement of Financial Accounting Standards No. 141R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establishes the acquisition method to account for business combinations. SFAS 141(R) requires the acquiring entity to recognize all of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These rules are effective for transactions closing after January 1, 2009.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2.</w:t>
            </w:r>
          </w:p>
        </w:tc>
        <w:tc>
          <w:tcPr>
            <w:tcW w:w="8640" w:type="dxa"/>
            <w:vAlign w:val="bottom"/>
            <w:gridSpan w:val="2"/>
          </w:tcPr>
          <w:p>
            <w:pPr>
              <w:ind w:left="160"/>
              <w:spacing w:after="0"/>
              <w:rPr>
                <w:sz w:val="20"/>
                <w:szCs w:val="20"/>
                <w:color w:val="auto"/>
              </w:rPr>
            </w:pPr>
            <w:r>
              <w:rPr>
                <w:rFonts w:ascii="Arial" w:cs="Arial" w:eastAsia="Arial" w:hAnsi="Arial"/>
                <w:sz w:val="18"/>
                <w:szCs w:val="18"/>
                <w:b w:val="1"/>
                <w:bCs w:val="1"/>
                <w:color w:val="auto"/>
              </w:rPr>
              <w:t>Supplemental Balance Sheet Information</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7"/>
        </w:trPr>
        <w:tc>
          <w:tcPr>
            <w:tcW w:w="300" w:type="dxa"/>
            <w:vAlign w:val="bottom"/>
          </w:tcPr>
          <w:p>
            <w:pPr>
              <w:spacing w:after="0"/>
              <w:rPr>
                <w:sz w:val="24"/>
                <w:szCs w:val="24"/>
                <w:color w:val="auto"/>
              </w:rPr>
            </w:pPr>
          </w:p>
        </w:tc>
        <w:tc>
          <w:tcPr>
            <w:tcW w:w="86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Receivables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tcPr>
          <w:p>
            <w:pPr>
              <w:ind w:left="460"/>
              <w:spacing w:after="0"/>
              <w:rPr>
                <w:sz w:val="20"/>
                <w:szCs w:val="20"/>
                <w:color w:val="auto"/>
              </w:rPr>
            </w:pPr>
            <w:r>
              <w:rPr>
                <w:rFonts w:ascii="Arial" w:cs="Arial" w:eastAsia="Arial" w:hAnsi="Arial"/>
                <w:sz w:val="18"/>
                <w:szCs w:val="18"/>
                <w:color w:val="auto"/>
              </w:rPr>
              <w:t>Accounts receivable consist of the following (in thousands):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June 30,</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$6,347</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6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5,934</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6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state inventories at the lower of cost or market, using the first-in-first-out method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8440" w:type="dxa"/>
            <w:vAlign w:val="bottom"/>
          </w:tcPr>
          <w:p>
            <w:pPr>
              <w:spacing w:after="0"/>
              <w:rPr>
                <w:sz w:val="14"/>
                <w:szCs w:val="14"/>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$ 6,096</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6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540" w:type="dxa"/>
            <w:vAlign w:val="bottom"/>
          </w:tcPr>
          <w:p>
            <w:pPr>
              <w:jc w:val="right"/>
              <w:spacing w:after="0"/>
              <w:rPr>
                <w:sz w:val="20"/>
                <w:szCs w:val="20"/>
                <w:color w:val="auto"/>
              </w:rPr>
            </w:pPr>
            <w:r>
              <w:rPr>
                <w:rFonts w:ascii="Arial" w:cs="Arial" w:eastAsia="Arial" w:hAnsi="Arial"/>
                <w:sz w:val="18"/>
                <w:szCs w:val="18"/>
                <w:color w:val="auto"/>
              </w:rPr>
              <w:t>4,596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5,054</w:t>
            </w:r>
          </w:p>
        </w:tc>
        <w:tc>
          <w:tcPr>
            <w:tcW w:w="6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obsolescence</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0"/>
        </w:trPr>
        <w:tc>
          <w:tcPr>
            <w:tcW w:w="8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8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$ 8,678</w:t>
            </w:r>
          </w:p>
        </w:tc>
        <w:tc>
          <w:tcPr>
            <w:tcW w:w="36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9,198</w:t>
            </w:r>
          </w:p>
        </w:tc>
        <w:tc>
          <w:tcPr>
            <w:tcW w:w="6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340" w:firstLine="438"/>
        <w:spacing w:after="0" w:line="259" w:lineRule="auto"/>
        <w:rPr>
          <w:sz w:val="20"/>
          <w:szCs w:val="20"/>
          <w:color w:val="auto"/>
        </w:rPr>
      </w:pPr>
      <w:r>
        <w:rPr>
          <w:rFonts w:ascii="Arial" w:cs="Arial" w:eastAsia="Arial" w:hAnsi="Arial"/>
          <w:sz w:val="18"/>
          <w:szCs w:val="18"/>
          <w:color w:val="auto"/>
        </w:rPr>
        <w:t>Included in inventory at June 30, 2008 and December 31, 2007 were $1.8 and $2.2 million, respectively, of inventory net of reserves relating exclusively to our CoolAir family of products. In December 2007 we recorded reserves of $1.8 million against the CoolAir inventory as a result of our expectations of future product demand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future product development initiatives that potentially would result in excess quantities of CoolAir inventory. If these expectations are not met during 2008 and we are unable to sell sufficient quantities of our finished CoolAir products, we may need to record an additional impairment charge for some or all of the remaining amount of this inventory.</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8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9,668</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2,751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Demonstration units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1,042</w:t>
            </w:r>
          </w:p>
        </w:tc>
        <w:tc>
          <w:tcPr>
            <w:tcW w:w="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351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7,268</w:t>
            </w:r>
          </w:p>
        </w:tc>
        <w:tc>
          <w:tcPr>
            <w:tcW w:w="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71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21,151</w:t>
            </w:r>
          </w:p>
        </w:tc>
        <w:tc>
          <w:tcPr>
            <w:tcW w:w="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20,726</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(15,960)</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5"/>
              </w:rPr>
              <w:t>(15,196)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5,191</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40" w:type="dxa"/>
            <w:vAlign w:val="bottom"/>
          </w:tcPr>
          <w:p>
            <w:pPr>
              <w:ind w:left="460"/>
              <w:spacing w:after="0"/>
              <w:rPr>
                <w:sz w:val="20"/>
                <w:szCs w:val="20"/>
                <w:color w:val="auto"/>
              </w:rPr>
            </w:pPr>
            <w:r>
              <w:rPr>
                <w:rFonts w:ascii="Arial" w:cs="Arial" w:eastAsia="Arial" w:hAnsi="Arial"/>
                <w:sz w:val="18"/>
                <w:szCs w:val="18"/>
                <w:color w:val="auto"/>
              </w:rPr>
              <w:t>Accrued expenses consist of the following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Warranty liability</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976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Federal, state, property and sales taxes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625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4,681</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Warranty Liability</w:t>
      </w:r>
    </w:p>
    <w:p>
      <w:pPr>
        <w:spacing w:after="0" w:line="96"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us, whichever period is shorter. We provide for the estimated cost of product warranties at the time revenue is recognized and this accrual is contained in accrued expenses on the accompanying balance sheet.</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Changes in our warranty liability are presented in the following table (in thousands):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Warranty expense</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Warranty charges incurred</w:t>
            </w:r>
          </w:p>
        </w:tc>
        <w:tc>
          <w:tcPr>
            <w:tcW w:w="6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Balance at June 30, 2008</w:t>
            </w:r>
          </w:p>
        </w:tc>
        <w:tc>
          <w:tcPr>
            <w:tcW w:w="6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vMerge w:val="continue"/>
          </w:tcPr>
          <w:p>
            <w:pPr>
              <w:spacing w:after="0"/>
              <w:rPr>
                <w:sz w:val="19"/>
                <w:szCs w:val="19"/>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$ 976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340" w:type="dxa"/>
            <w:vAlign w:val="bottom"/>
            <w:vMerge w:val="restart"/>
          </w:tcPr>
          <w:p>
            <w:pPr>
              <w:jc w:val="right"/>
              <w:ind w:right="4632"/>
              <w:spacing w:after="0"/>
              <w:rPr>
                <w:sz w:val="20"/>
                <w:szCs w:val="20"/>
                <w:color w:val="auto"/>
              </w:rPr>
            </w:pPr>
            <w:r>
              <w:rPr>
                <w:rFonts w:ascii="Arial" w:cs="Arial" w:eastAsia="Arial" w:hAnsi="Arial"/>
                <w:sz w:val="18"/>
                <w:szCs w:val="18"/>
                <w:color w:val="auto"/>
              </w:rPr>
              <w:t>5</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w:t>
            </w:r>
          </w:p>
        </w:tc>
      </w:tr>
      <w:tr>
        <w:trPr>
          <w:trHeight w:val="161"/>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15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Ended June 30,</w:t>
            </w:r>
          </w:p>
        </w:tc>
      </w:tr>
      <w:tr>
        <w:trPr>
          <w:trHeight w:val="142"/>
        </w:trPr>
        <w:tc>
          <w:tcPr>
            <w:tcW w:w="7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2008</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(4,427)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(4,646)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(8,896)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(11,070)</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Basic and diluted:</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60,124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50,090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60,124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50,089</w:t>
            </w:r>
          </w:p>
        </w:tc>
        <w:tc>
          <w:tcPr>
            <w:tcW w:w="60" w:type="dxa"/>
            <w:vAlign w:val="bottom"/>
            <w:shd w:val="clear" w:color="auto" w:fill="CCEEFF"/>
          </w:tcPr>
          <w:p>
            <w:pPr>
              <w:spacing w:after="0"/>
              <w:rPr>
                <w:sz w:val="18"/>
                <w:szCs w:val="18"/>
                <w:color w:val="auto"/>
              </w:rPr>
            </w:pP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60,124</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50,090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60,124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50,089</w:t>
            </w:r>
          </w:p>
        </w:tc>
        <w:tc>
          <w:tcPr>
            <w:tcW w:w="6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0"/>
        </w:trPr>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calculation of diluted loss per share excludes 6,050,717 and 5,400,995 shares of common stock issuable upon exercise of employee stock options as of June 30, 2008 and 2007, respectively, and 235,344 and 250,000 of non-vested shares issuable upon exercise of restricted stock awards as of June 30, 2008 and 2007, respectively, because their inclusion in the calculation would be anti-dilutive. As of June 30, 2008 and 2007, there was no common stock subject to repurchase.</w:t>
      </w:r>
    </w:p>
    <w:p>
      <w:pPr>
        <w:spacing w:after="0" w:line="25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Marketable Securities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Investments in marketable securities consist of money market funds, commercial paper and debt securities with readily determinable fair values. We account for investments that are reasonably expected to be realized in cash, sold or consumed during the year as short-term investments. We classify investments in marketable securities as available-for-sale and all reclassifications made from unrealized gains/losses to realized gains/losses are determined based on the specific identification method.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Included within our short-term investments at December 31, 2007 was $2.4 million of AAA and AAA1/A1 rated investments in auction rate securities. Auction rate securities held by us are taxable municipal bonds with long-term nominal maturities for which the interest rates are reset through a dutch auction each month. The monthly auctions historically have provided a liquid market for these securities. During the first two quarters we redeemed an aggregate of $1.6 million of these securities and at June 30, 2008 we held $825,000 of auction rate securities. The liquidity issues in U.S. and global credit and capital markets during 2008 have resulted in a number of failed dutch auctions in the auction rate securities market. We have experienced failed auctions for our remaining auction rate securities during 2008, meaning that the amount of securities submitted for sale exceeded the amount of purchase orders for these securities. This has resulted in an illiquid asset for us, even though we continue to earn interest on these securities according to their stated terms. Because of this lack of liquidity, the remaining balance of our auction rate securities has been classified as a long-term asset at June 30, 2008.</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continue to work with the financial institution that marketed these auction rate securities to us as a liquid money-market asset to enable us to liquidate these securities in an orderly manner. None of the underlying securities have had any credit rating adjustments, but the overall lack of liquidity in the auction rate securities market has resulted in us holding an illiquid asset. Our current liquidity situation is such that we do not have to redeem these securities in the short term. The lack of liquidity also means that we do not have a readily discernable market valuation with which to value these securities. Therefore we continue to carry these securities at par value as we have historically valued them at par value since that is the value we receive when we trade these securities in an established market. Any differences between par value and the purchase price or settlement have historically been comprised of accrued interest.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by reference to, the financial statements and notes thereto included in Item 1 of this Form 10-Q and the financial statements and notes thereto and our Management’s Discussion and Analysis of Financial Condition and Results of Operations for the year ended December 31, 2007 included in our 2007 Annual Report on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of Part 1, Item 1A of our 2007 Annual Report on Form 10-K and in Part II, Item 1A of this Form 10-Q for a discussion of items that may affect our future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design, manufacture and market efficient, reliable and green power quality solutions and Uninterruptible Power Supply (UPS) systems that provide business continuity and protect customers in the event of an electric power disturbance. Our products are designed to provide power quality to protect customers from voltage fluctuations, such as surges and sags, and frequency fluctuations, and also to provide ride-through, or temporary, power to bridge the gap between a power outage and the restoration of utility power, or the time required to switch to electric generator power. Our products are designed to be environmentally friendly compared to existing solutions without compromising functionality, efficiency or cost. As of June 30, 2008 we have shipped over 1,800 flywheels in UPS system installations, delivering more than 450 megawatts of power to customers in over 40 countries around the world.</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patented flywheel energy storage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electricity generator starts and takes over generating longer term power in the case of an extended electrical outage. We sell our flywheel products to commercial and industrial customers across a variety of vertical markets, including manufacturing, technology, communications, utilities, healthcare, banking and military and in all geographic regions of the world, but particularly in North America, Western Europe and Asia.</w:t>
      </w:r>
    </w:p>
    <w:p>
      <w:pPr>
        <w:spacing w:after="0" w:line="120"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5"/>
          <w:szCs w:val="15"/>
          <w:color w:val="auto"/>
        </w:rPr>
        <w:t>We believe that our flywheel products provide many advantages over traditional battery-based systems, including substantial space savings, higher power densities, “green” energy storage and power efficiencies as high as 98% that reduce total operating costs. We offer our flywheel products with load capabilities from 130 kVA to 3,600 kVA, while typically targeting power density applications above 200 kVA since the majority of these customers already have back-up</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generators. We market our flywheel products under the brand name CleanSource</w:t>
      </w:r>
      <w:r>
        <w:rPr>
          <w:rFonts w:ascii="Arial" w:cs="Arial" w:eastAsia="Arial" w:hAnsi="Arial"/>
          <w:sz w:val="21"/>
          <w:szCs w:val="21"/>
          <w:color w:val="auto"/>
          <w:vertAlign w:val="superscript"/>
        </w:rPr>
        <w:t>®</w:t>
      </w:r>
      <w:r>
        <w:rPr>
          <w:rFonts w:ascii="Arial" w:cs="Arial" w:eastAsia="Arial" w:hAnsi="Arial"/>
          <w:sz w:val="17"/>
          <w:szCs w:val="17"/>
          <w:color w:val="auto"/>
        </w:rPr>
        <w:t>. CleanSource DC is a non-chemical replacement for lead-acid batteries used for bridging power. Utilizing our flywheel energy storage technology, the CleanSource DC is a stand-alone, direct current (DC) product that is compatible with all major brands of UPS. We built on the technological success of CleanSource DC by creating a battery-free UPS, CleanSource UPS, which integrates the UPS electronics and our flywheel energy storage system into one compact cabinet. CleanSource UPS represents the majority of our current revenue. The CleanSource UPS is also marketed directly by Caterpillar Inc. under an OEM relationship with us. Combining our CleanSource UPS with a generator provides customers with complete short and long-term protection in the event of a power disturbance.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To meet the requirements of customers without backup generators that require protection from utility disturbances, we have also developed a patented</w:t>
      </w:r>
    </w:p>
    <w:p>
      <w:pPr>
        <w:spacing w:after="0" w:line="4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extended runtime product that we call CoolAir</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transitional source of backup cooling.</w:t>
      </w:r>
    </w:p>
    <w:p>
      <w:pPr>
        <w:spacing w:after="0" w:line="18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Inc. and Eaton Electrical (formerly known as PowerWare). Since 2005 we have developed additional sales channels in North America including direct sales employees and a network of manufacturer’s representatives. Direct sales tend to improve our relationships with clients, improve our gross margins and add service and other revenue opportunities. Our primary sales channels in Europe, Middle East and Asia (EMEA) include selling directly to end users and indirectly through select value added resellers (VARs). We also provide services including engineering, installation, start-up, monitoring, and repair for our products under contracts with our customers.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9"/>
              </w:rPr>
              <w:t>Variance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6"/>
              </w:rPr>
              <w:t>Three months ended June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2008 vs.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38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c>
          <w:tcPr>
            <w:tcW w:w="6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$ 5,592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7,725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$(2,133)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2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1,457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(261)</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9,182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(2,394)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420"/>
              <w:spacing w:after="0"/>
              <w:rPr>
                <w:sz w:val="20"/>
                <w:szCs w:val="20"/>
                <w:color w:val="auto"/>
              </w:rPr>
            </w:pPr>
            <w:r>
              <w:rPr>
                <w:rFonts w:ascii="Arial" w:cs="Arial" w:eastAsia="Arial" w:hAnsi="Arial"/>
                <w:sz w:val="18"/>
                <w:szCs w:val="18"/>
                <w:color w:val="auto"/>
              </w:rPr>
              <w:t>Cost of product revenue</w:t>
            </w:r>
          </w:p>
        </w:tc>
        <w:tc>
          <w:tcPr>
            <w:tcW w:w="2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6,469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(1,704)</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7,635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(1,789)</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3,055</w:t>
            </w:r>
          </w:p>
        </w:tc>
        <w:tc>
          <w:tcPr>
            <w:tcW w:w="8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2,621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434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(1,270)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6,403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(858)</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income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(68)</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gridSpan w:val="2"/>
            <w:vMerge w:val="continue"/>
          </w:tcPr>
          <w:p>
            <w:pPr>
              <w:spacing w:after="0"/>
              <w:rPr>
                <w:sz w:val="19"/>
                <w:szCs w:val="19"/>
                <w:color w:val="auto"/>
              </w:rPr>
            </w:pPr>
          </w:p>
        </w:tc>
        <w:tc>
          <w:tcPr>
            <w:tcW w:w="23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 (4,427)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(4,646)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  219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9"/>
              </w:rPr>
              <w:t>Variance</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9"/>
              </w:rPr>
              <w:t>Six months ended June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2008 vs.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38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c>
          <w:tcPr>
            <w:tcW w:w="6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12,996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2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2,159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327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15,155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420"/>
              <w:spacing w:after="0"/>
              <w:rPr>
                <w:sz w:val="20"/>
                <w:szCs w:val="20"/>
                <w:color w:val="auto"/>
              </w:rPr>
            </w:pPr>
            <w:r>
              <w:rPr>
                <w:rFonts w:ascii="Arial" w:cs="Arial" w:eastAsia="Arial" w:hAnsi="Arial"/>
                <w:sz w:val="18"/>
                <w:szCs w:val="18"/>
                <w:color w:val="auto"/>
              </w:rPr>
              <w:t>Cost of product revenue</w:t>
            </w:r>
          </w:p>
        </w:tc>
        <w:tc>
          <w:tcPr>
            <w:tcW w:w="2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11,380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(958)</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13,271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(670)</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6,005</w:t>
            </w:r>
          </w:p>
        </w:tc>
        <w:tc>
          <w:tcPr>
            <w:tcW w:w="8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5,246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759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13,363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(2,284)</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(11,479)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2,125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income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360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(106)</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316%</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gridSpan w:val="2"/>
            <w:vMerge w:val="continue"/>
          </w:tcPr>
          <w:p>
            <w:pPr>
              <w:spacing w:after="0"/>
              <w:rPr>
                <w:sz w:val="19"/>
                <w:szCs w:val="19"/>
                <w:color w:val="auto"/>
              </w:rPr>
            </w:pPr>
          </w:p>
        </w:tc>
        <w:tc>
          <w:tcPr>
            <w:tcW w:w="23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 (8,896)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(11,070)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$ 2,174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380" w:type="dxa"/>
            <w:vAlign w:val="bottom"/>
            <w:vMerge w:val="restart"/>
          </w:tcPr>
          <w:p>
            <w:pPr>
              <w:jc w:val="right"/>
              <w:ind w:right="812"/>
              <w:spacing w:after="0"/>
              <w:rPr>
                <w:sz w:val="20"/>
                <w:szCs w:val="20"/>
                <w:color w:val="auto"/>
              </w:rPr>
            </w:pPr>
            <w:r>
              <w:rPr>
                <w:rFonts w:ascii="Arial" w:cs="Arial" w:eastAsia="Arial" w:hAnsi="Arial"/>
                <w:sz w:val="18"/>
                <w:szCs w:val="18"/>
                <w:color w:val="auto"/>
              </w:rPr>
              <w:t>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Product revenue. </w:t>
      </w:r>
      <w:r>
        <w:rPr>
          <w:rFonts w:ascii="Arial" w:cs="Arial" w:eastAsia="Arial" w:hAnsi="Arial"/>
          <w:sz w:val="18"/>
          <w:szCs w:val="18"/>
          <w:color w:val="auto"/>
        </w:rPr>
        <w:t>Product revenue consists of sales of our CleanSource power quality products, comprised of both UPS and DC product lines, and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ancillary equipment, such as engine generators, electrical and switchgear products.</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decrease in product revenue for the three and six month periods ended June 30, 2008 was due to lower ancillary project revenue compared to the same periods of 2007 as a result of timing of orders and a lower number of flywheel units sold. A single product, depending on its power rating, may be comprised of multiple flywheel units. The average selling price during the second quarter of 2008 was $82,000 per quarter-megawatt flywheel, compared to $69,000 over the same period in 2007. Although the average selling price increased, which reflects an increase in the sale of higher priced products, such as the 250-900 kVA UPS product line, and price increases that we made in 2008, the lower number of units sold and the lower ancillary project revenue resulted in lower product revenue compared to the second quarter of 2007.</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three-month period ended June 30, 2008 we sold 62 flywheel units compared to 81 flywheel units in the comparable period of 2007. The frequency and timing of our larger system sales, including megawatt class UPS products, made directly by us is more unpredictable than orders received from our OEM partners, and can result in material changes in period-to-period revenue and the number of units sold. Such revenues may also occur in periods other than when originally anticipated, which can add to the potential variability in our quarterly financial results and affect our ability to meet forecasted targets.</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North American sales were 77% of our total revenue for the three-month period ended June 30, 2008 compared to 66% for the same period of 2007, and 61% in the immediately preceding quarter of 2008.</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Since 2005 we have been increasing the size of our direct sales organization in an effort to expand the territories in which we sell our Active Power branded products. Most of this effort initially was focused in the EMEA market where we now have multiple sales offices. In 2007 we also opened our first Asian sales office in Tokyo. Sales of Active Power branded products through our direct and manufacturer’s representative channels were 50% of our total revenues for the three-month period ended June 30, 2008 compared to 67% for the same period of 2007. Although our overall direct sales have decreased in the second quarter of 2008, we expect direct sales will continue to increase in both the EMEA and North American markets as we continue to focus on building a direct sales organization. As direct sales typically have higher profit margins than sales through our OEM channels, we will continue to focus on our direct sales channel to increase revenue and improve profit margins. We believe sales of our Active Power branded products to government facilities and industrial customers in regions that are not covered by our OEMs will continue to increase over time and will continue to become a larger percentage of our total revenue.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Caterpillar remains our largest OEM partner and largest overall customer and represented 50% of our revenue for the three-month period ended June 30, 2008, compared to 32% of our revenue for the three-month period ended June 30, 2007. On April 23, 2008, we entered into a new purchase agreement with Caterpillar, effective as of January 1, 2008, governing the sale of products by us to Caterpillar. This purchase agreement has an initial term of three years and provides that Caterpillar will continue to market certain of our flywheel-based uninterruptible power supply products under the Caterpillar brand as a complement to Caterpillar’s own product line. We will supply and Caterpillar will purchase all of Caterpillar’s Electric Power Division’s requirements for our products. We have had recent success with Caterpillar selling our megawatt-class UPS products along with their large engine generators, and expect total revenue from this channel to continue to increase in 2008 in absolute terms.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products perform well in harsh environments where power quality is particularly poor, which makes them a good fit for industrial countries with a poor power infrastructure and therefore we have focused our direct sales efforts to these customers. Due to the large size of some of our customer orders relative to our current total revenue levels, our quarterly total revenue trend and the proportion of sales made directly by us can be expected to fluctuate quarterly from the amounts recorded so far in 2008. We have also seen and anticipate a further increase in capital spending in data centers where there is a requirement for higher-density power solutions such as flywheels, and believe that this along with our expanding direct sales strategy will result in higher product revenue levels for us for the remainder of 2008.</w:t>
      </w:r>
    </w:p>
    <w:p>
      <w:pPr>
        <w:spacing w:after="0" w:line="14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Service and spares revenue. </w:t>
      </w:r>
      <w:r>
        <w:rPr>
          <w:rFonts w:ascii="Arial" w:cs="Arial" w:eastAsia="Arial" w:hAnsi="Arial"/>
          <w:sz w:val="16"/>
          <w:szCs w:val="16"/>
          <w:color w:val="auto"/>
        </w:rPr>
        <w:t>Service and spares revenue primarily relates to revenue generated from installation, startup, repairs or reconfigurations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the sale of spare or replacement parts to our OEM and end-user customers. It also includes revenue associated with the costs of travel of our service personnel. Service and spares revenue decreased by 18% for the three-month period ended June 30, 2008 compared to the same prior year period. This decrease was primarily due to timing of contract work related to large systems projects, and the absence of such projects in the second quarter of 2008. For some of these customers we provide a full power solution, including site preparation, installation of an entire power solution and provision of all products required to provide a turnkey product to the end user. We anticipate that service and spares revenue will continue to grow with product revenue and as our installed base of product expands, because as more units are sold to customers, more installation, startup and maintenance services will be required. Where we make sales through our OEM channel, it is typical for the OEM to provide these types of services to their end-user customers.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products that are sourced from suppliers, personnel,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other costs associated with our assembly and test operations, including costs from having underutilized facilities, shipping costs, warranty costs, and the costs of manufacturing support functions such as logistics and quality assurance. The cost of product revenue as a percentage of total product revenue in the three-month period ended June 30, 2008 remained at 70%, compared to the same period in 2007. Although we have instituted programs to reduce product and component costs where feasible, the impact of increased raw commodity pricing and a lower number of flywheel units sold has kept the product cost as a percentage of total product revenue steady. We continue to operate a manufacturing facility that has a capacity level significantly greater than our current product revenue levels. In addition, a large portion of the costs involved in operating our manufacturing facility are fixed in nature and we incur approximately $1.2 million to $1.5 million in unabsorbed overhead each quarter. We continue to work on reducing our product costs through design enhancements and modifications and vendor management programs. The accomplishment of material gross margin levels is heavily dependent upon our sales channel mix and the effectiveness of our product pricing to our customers, as well as the actual volume of units produced. Our ability to maintain and grow positive product gross margin will depend on multiple factors, including our ability to continue to reduce material costs, improve our sales channel mix in favor of direct sales versus OEM, increase product prices, and increase our unit volume and total revenues to a level that will allow us to improve the utilization of our manufacturing operations.</w:t>
      </w:r>
    </w:p>
    <w:p>
      <w:pPr>
        <w:spacing w:after="0" w:line="12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Items that could impact our ability to further improve our gross margin include sales product volume and mix, pricing discounts and customer incentives, currency fluctuations, and variations in our product cost and productivity. Also, if current expectations of future demand for our CoolAir product are not realized, we may be required to record an additional impairment charge for some or all of our remaining CoolAir inventory, which would negatively impact our gross margins.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service and spares revenue. </w:t>
      </w:r>
      <w:r>
        <w:rPr>
          <w:rFonts w:ascii="Arial" w:cs="Arial" w:eastAsia="Arial" w:hAnsi="Arial"/>
          <w:sz w:val="16"/>
          <w:szCs w:val="16"/>
          <w:color w:val="auto"/>
        </w:rPr>
        <w:t>Cost of service and spares revenue includes the cost of component parts, as well as labor and overhead of our spare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parts, costs associated with travel and labor used in servicing a unit and unabsorbed overhead from the service group. The cost of service and spares revenue increased to 90% of service and spares revenue in the three-month period ended June 30, 2008, compared to 80% in the same period of 2007. This decrease reflects less contract work in the second quarter of 2008, as well as higher costs from the expansion of our service department in Europe and Asia to support the growth in the number of units in these regions as well as anticipated growth in the future.</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product development activities, as well as an allocated portion of our occupancy costs. Overall our research and development expenses decreased by $22,000, or 2%, from the second quarter of 2007, and decreased by $98,000, or 7%, from the first quarter of 2008. The decrease from the same period in 2007 was due to headcount reductions and lower project related development costs this year. The prior year expenses included higher prototype and development costs for our CoolAir DC product and costs incurred in paralleling our megawatt-class UPS product. We believe research and development expenses in the third quarter will stay at similar levels to those recorded in the second quarter.</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Selling and marketing. </w:t>
      </w:r>
      <w:r>
        <w:rPr>
          <w:rFonts w:ascii="Arial" w:cs="Arial" w:eastAsia="Arial" w:hAnsi="Arial"/>
          <w:sz w:val="16"/>
          <w:szCs w:val="16"/>
          <w:color w:val="auto"/>
        </w:rPr>
        <w:t>Selling and marketing expenses primarily consist of compensation, including variable sales compensation, and related costs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and marketing personnel, related travel, selling and marketing expenses, as well as an allocated portion of our occupancy costs. Selling and marketing costs were $434,000, or 17%, higher than the amount recorded in the second quarter of 2007, and were $105,000, or 4%, higher than the first quarter of 2008. The increase from the same period in 2007 was due to increased variable sales compensation associated with increased channel partners and distributors compared to 2007 and higher marketing and promotion spending in 2008. The increase in our sales and marketing costs from the first quarter of 2008 reflects increased marketing efforts of our products globally. Our total headcount in sales and marketing has decreased slightly compared to last quarter, and we have changed the composition of our sales team over the last year as we expand our direct sales force. We believe that sales and marketing expenses will increase slightly in the third quarter as our revenue levels increase and our variable compensation increases.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General and administrative expense is primarily comprised of compensation and related costs for executive and administrative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personnel, professional fees, and taxes, including sales, property and franchise taxes. General and administrative expenses decreased by $1,270,000, or 52%, from the levels of the same period in 2007 and remained steady when compared to the first quarter of 2008. This decrease from the same period in the prior year was primarily attributable to $1.2 million of professional fees incurred last year with a review of our historical stock option granting procedures that covered the period from 2000 through 2006. We are currently in the process of negotiating to settle the outstanding tax matters resulting from the option investigation with the Internal Revenue Service, and may still record additional expense to cover tax obligations for innocent employees who were affected by the option review.</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would record any further expenses at the time we legally finalize those obligations for our employees. Absent the impact of any significant expenses from the option review, we anticipate that the level of general and administrative expenses should stay at similar levels in the third quarter of 2008.</w:t>
      </w:r>
    </w:p>
    <w:p>
      <w:pPr>
        <w:spacing w:after="0" w:line="85"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has decreased from $159,000 in the three-month period ended June 30, 2007 to $91,000 in the three-month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2008. Our average cash and investments balance over the three month period ending June 30, 2008 has increased by approximately $1.0 million, or 7%, compared to the average balance over the comparable period ending June 30, 2007. Interest income decreased due to decreasing interest rates available in credit markets and the mix of our investments between short and long term and cash and cash equivalents.</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in the second quarter of 2008 increased over the preceding quarter due to sale of previous expensed equipment and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gains on a bank account held in foreign currency.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principal sources of liquidity as of June 30, 2008 consisted of $14.2 million of cash and investments and the funds available to us under our $5.0 million revolving credit facility with our bank. We have primarily funded our operations through public and private placements of our common stock as well as $10.0 million in development funding received from Caterpillar since 1999, and from our product, service and spares revenue. We believe that our cash and investments on hand will be sufficient to fund our operations through the next twelve months based upon our historical and projected cash burn.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changes in cash used in operating activities for the six-month periods ended June 30:</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4"/>
              </w:rPr>
              <w:t>Six months ended</w:t>
            </w:r>
          </w:p>
        </w:tc>
        <w:tc>
          <w:tcPr>
            <w:tcW w:w="160" w:type="dxa"/>
            <w:vAlign w:val="bottom"/>
          </w:tcPr>
          <w:p>
            <w:pPr>
              <w:spacing w:after="0"/>
              <w:rPr>
                <w:sz w:val="14"/>
                <w:szCs w:val="14"/>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9"/>
              </w:rPr>
              <w:t>Variance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754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11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2008 vs. 2007</w:t>
            </w:r>
          </w:p>
        </w:tc>
      </w:tr>
      <w:tr>
        <w:trPr>
          <w:trHeight w:val="142"/>
        </w:trPr>
        <w:tc>
          <w:tcPr>
            <w:tcW w:w="754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 in thousands)</w:t>
            </w:r>
          </w:p>
        </w:tc>
        <w:tc>
          <w:tcPr>
            <w:tcW w:w="56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$(8,058)</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$(7,664)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15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Cash used in operating activities for the six-month period ending June 30, 2008 increased by 5% compared to the same period of 2007. This is primarily attributable to changes in our working capital compared to the prior period. Although our operating loss declined in 2008, we have used more funds to finance additional accounts receivable, and have paid more accrued liabilities compared to the previous year. We have offset some of this impact through increased levels of customer deposits that are included as deferred revenue on some of our larger system projects and by reducing our inventory levels. We anticipate that the level of cash used in operating activities will be similar to the second quarter as we continue to increase our revenue and have fewer fluctuations in our working capital.</w:t>
      </w:r>
    </w:p>
    <w:p>
      <w:pPr>
        <w:spacing w:after="0" w:line="10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Investing activities primarily consist of sales and purchases of investments and purchases of property and equipment. Fluctuations in the sale and purchase of investments generally reflect our use of these funds to finance our ongoing operations. Capital expenditures were $668,000 in the six-month period ending June 30, 2008 compared to $433,000 in the same period of 2007.</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Funds used by financing activities during the six months ended June 30, 2008 reflect the issuance of restricted shares to employees less the proceeds from employee share purchases.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noted above, we believe our existing cash and investments balances at June 30, 2008 will be sufficient to meet our cash requirements through at least the next 12 months, although we may elect to seek additional funding prior to that time. Beyond the next 12 months, our cash requirements will depend on many factors, including the rate of sales growth, the success of our direct selling strategy, the market acceptance of our products, including the CoolAir DC product family, the timing and level of development funding, the rate of expansion of our sales and marketing activities, the efficiency of our manufacturing processes, and the timing and extent of research and development projects.</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June 30, 2008, we held $825,000 in auction rate securities. Due to difficulties in U.S. credit and capital markets, there have been a number of failed auctions in the U.S. auction rate securities market in 2008. We have experienced failed auctions for the municipal bond instruments that we hold, resulting in a lack of liquidity for these securities. We continue to earn interest on these securities but are, in the short term at least, unable to liquidate these investments in an orderly manner. As a result we have classified these securities as a long-term investment at June 30, 2008.</w:t>
      </w:r>
    </w:p>
    <w:p>
      <w:pPr>
        <w:spacing w:after="0" w:line="11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continue to work with the financial institution that marketed these auction rate securities to us as a liquid money-market asset to enable us to liquidate these securities in an orderly manner. None of the underlying securities have had any credit rating adjustments, but the overall lack of liquidity in the auction rate securities market has resulted in us holding 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illiquid asset. Our current liquidity situation is such that we do not have to redeem these securities in the short term. The lack of liquidity also means that we do not have a readily discernable market valuation with which to value these securities. Therefore we continue to carry these securities at par value consistent with our historical practice since that is the value we receive when we trade these securities in an established market. Any differences between par value and the purchase price or settlement have historically been comprised of accrued interest.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December 2007, the FASB issued Statement of Financial Accounting Standards No. 141R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establishes the acquisition method to account for business combinations. SFAS 141(R) requires the acquiring entity to recognize all of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These rules are effective for transactions closing after January 1, 2009.</w:t>
      </w: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$85,000.</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international sales have historically been made in U.S. dollars. As we increase sales in foreign markets, particularly those markets where we have a physical presence, we are making more sales that are denominated on other currencies, primarily euros and British pounds. Those sales in currencies other than U.S. dollars can result in transaction gains and losses which have not been material to date. Currently, we do not engage in hedging activities for our international operations other than an increasing amount of sales and support expenses being incurred in foreign currencies. However, we may engage in hedging activities in the future.</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1A – “Risk Factors” in our 2007 Annual Report on Form 10-K. Accordingly, our future results could be materially harmed by the actual occurrence of any of these or other risks.</w:t>
      </w: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and 15d -15(e) under the Securities Exchange Act of 1934. Based on their evaluation, our management, including our CEO and CFO, concluded that our disclosure controls and procedures were effective as of June 30, 2008 (the end of the period covered by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three months ended June 30, 2008 there was no change in our internal control over financial reporting that occurred that has materially affected, or that we believe is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January 22, 2008, we initiated legal proceedings in the U.S. District Court for the District of Puerto Rico against Antilles Power Depot, Inc. (Antilles), our distributor in Puerto Rico, seeking payment of outstanding balances from Antilles, our costs of litigation, and a declaratory judgment establishing that we have “just cause” to terminate our distribution agreement due to Antilles’ non-performance of its contractual obligations, including non-payment of outstanding amounts. Antilles has formally responded to our complaint and has filed counterclaims against us seeking (i) approximately $100,000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finance charges, (ii) a declaratory judgment establishing we do not have “just cause” to terminate the distribution agreement, and (iii) damages of no less than $560,000 in the event that we terminate the distribution agreement without “just cause”. We have filed a motion to dismiss these counterclaims and are currently waiting for Antilles opposition to the same.</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previously reserved fully for the amounts due from Antilles. We have initiated the declaratory judgment action to obtain a judicial determination that we are not subject to potential payments or penalties that would be otherwise payable to Antilles under the Puerto Rico Act No. 75 which is designed to compensate local distributors whose distribution rights are terminated without “just cause” (as that term is defined under Puerto Rico law). Until this matter is resolved we are unable to sell our products in Puerto Rico directly or to engage a new distributor in that market. We do not anticipate the costs of this litigation to be material to our financial results. Since June 30, Antilles has contacted us to negotiate the return of equipment to us that was not paid for as a preliminary effort to settle this dispute. We anticipate potential discovery of this case to continue into the third quarter of 2008.</w:t>
      </w:r>
    </w:p>
    <w:p>
      <w:pPr>
        <w:spacing w:after="0" w:line="2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5"/>
          <w:szCs w:val="15"/>
          <w:color w:val="auto"/>
        </w:rPr>
        <w:t>Risk Factors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You should carefully consider the risks described in Item 1A of our 2007 Annual Report on Form 10-K before making a decision to invest in our common stock or in evaluating Active Power and our business. The risks and uncertainties described in our 2007 Annual Report on Form 10-K are not the only ones we face. Additional risks and uncertainties that we do not presently know, or that we currently view as immaterial, may also impair our business operations. This report is qualified in its entirety by these risk factors.</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The actual occurrence of any of the risks described in our 2007 Annual Report on Form 10-K could materially harm our business, financial condition and results of operations. In that case, the trading price of our common stock could decline.</w:t>
      </w:r>
    </w:p>
    <w:p>
      <w:pPr>
        <w:spacing w:after="0" w:line="12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increased emphasis on a direct sales model has increased the effort and time required by us to complete sales to customers. Further, a larger portion of our quarterly revenue is derived from relatively few large transactions with relatively few customers. For example, in the second quarter of 2008, our five largest customers contributed 65%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cause the market price of our common stock to decline.</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Unregistered Sales of Equity Securities and 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Defaults Upon Senior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Submission of Matters to a Vote of Security Holders.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our annual meeting of stockholders held on May 15, 2008, our stockholders voted on the following matters:</w:t>
      </w:r>
    </w:p>
    <w:p>
      <w:pPr>
        <w:spacing w:after="0" w:line="90" w:lineRule="exact"/>
        <w:rPr>
          <w:sz w:val="20"/>
          <w:szCs w:val="20"/>
          <w:color w:val="auto"/>
        </w:rPr>
      </w:pPr>
    </w:p>
    <w:p>
      <w:pPr>
        <w:ind w:left="900" w:right="1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two Class II directors to serve until our 2011 annual meeting or until their successors have been elected and qualified. The nominees of the board of directors were elected by the following vote:</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7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 II Director</w:t>
            </w:r>
          </w:p>
        </w:tc>
        <w:tc>
          <w:tcPr>
            <w:tcW w:w="28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Shares Voted in Favor</w:t>
            </w:r>
          </w:p>
        </w:tc>
        <w:tc>
          <w:tcPr>
            <w:tcW w:w="260" w:type="dxa"/>
            <w:vAlign w:val="bottom"/>
          </w:tcPr>
          <w:p>
            <w:pPr>
              <w:spacing w:after="0"/>
              <w:rPr>
                <w:sz w:val="15"/>
                <w:szCs w:val="15"/>
                <w:color w:val="auto"/>
              </w:rPr>
            </w:pPr>
          </w:p>
        </w:tc>
        <w:tc>
          <w:tcPr>
            <w:tcW w:w="25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98"/>
              </w:rPr>
              <w:t>Shares Voted Against or Withheld</w:t>
            </w:r>
          </w:p>
        </w:tc>
      </w:tr>
      <w:tr>
        <w:trPr>
          <w:trHeight w:val="210"/>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Jan H. Lindelow</w:t>
            </w:r>
          </w:p>
        </w:tc>
        <w:tc>
          <w:tcPr>
            <w:tcW w:w="28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48,228,363</w:t>
            </w:r>
          </w:p>
        </w:tc>
        <w:tc>
          <w:tcPr>
            <w:tcW w:w="27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1,510,747</w:t>
            </w:r>
          </w:p>
        </w:tc>
      </w:tr>
      <w:tr>
        <w:trPr>
          <w:trHeight w:val="222"/>
        </w:trPr>
        <w:tc>
          <w:tcPr>
            <w:tcW w:w="3040" w:type="dxa"/>
            <w:vAlign w:val="bottom"/>
          </w:tcPr>
          <w:p>
            <w:pPr>
              <w:jc w:val="center"/>
              <w:spacing w:after="0"/>
              <w:rPr>
                <w:sz w:val="20"/>
                <w:szCs w:val="20"/>
                <w:color w:val="auto"/>
              </w:rPr>
            </w:pPr>
            <w:r>
              <w:rPr>
                <w:rFonts w:ascii="Arial" w:cs="Arial" w:eastAsia="Arial" w:hAnsi="Arial"/>
                <w:sz w:val="18"/>
                <w:szCs w:val="18"/>
                <w:color w:val="auto"/>
                <w:w w:val="88"/>
              </w:rPr>
              <w:t>James A. Clishem</w:t>
            </w:r>
          </w:p>
        </w:tc>
        <w:tc>
          <w:tcPr>
            <w:tcW w:w="286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49,200,411</w:t>
            </w:r>
          </w:p>
        </w:tc>
        <w:tc>
          <w:tcPr>
            <w:tcW w:w="2780" w:type="dxa"/>
            <w:vAlign w:val="bottom"/>
            <w:gridSpan w:val="2"/>
          </w:tcPr>
          <w:p>
            <w:pPr>
              <w:jc w:val="right"/>
              <w:ind w:right="912"/>
              <w:spacing w:after="0"/>
              <w:rPr>
                <w:sz w:val="20"/>
                <w:szCs w:val="20"/>
                <w:color w:val="auto"/>
              </w:rPr>
            </w:pPr>
            <w:r>
              <w:rPr>
                <w:rFonts w:ascii="Arial" w:cs="Arial" w:eastAsia="Arial" w:hAnsi="Arial"/>
                <w:sz w:val="18"/>
                <w:szCs w:val="18"/>
                <w:color w:val="auto"/>
              </w:rPr>
              <w:t>538,699</w:t>
            </w:r>
          </w:p>
        </w:tc>
      </w:tr>
      <w:tr>
        <w:trPr>
          <w:trHeight w:val="356"/>
        </w:trPr>
        <w:tc>
          <w:tcPr>
            <w:tcW w:w="3040" w:type="dxa"/>
            <w:vAlign w:val="bottom"/>
          </w:tcPr>
          <w:p>
            <w:pPr>
              <w:spacing w:after="0"/>
              <w:rPr>
                <w:sz w:val="24"/>
                <w:szCs w:val="24"/>
                <w:color w:val="auto"/>
              </w:rPr>
            </w:pPr>
          </w:p>
        </w:tc>
        <w:tc>
          <w:tcPr>
            <w:tcW w:w="2860" w:type="dxa"/>
            <w:vAlign w:val="bottom"/>
            <w:gridSpan w:val="2"/>
          </w:tcPr>
          <w:p>
            <w:pPr>
              <w:jc w:val="right"/>
              <w:ind w:right="1412"/>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one Class III director to serve until our 2008 annual meeting or until his successor has been elected and qualified. The nominee of the board of directors was elected by the following vote:</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7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 III Director</w:t>
            </w:r>
          </w:p>
        </w:tc>
        <w:tc>
          <w:tcPr>
            <w:tcW w:w="28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Shares Voted in Favor</w:t>
            </w:r>
          </w:p>
        </w:tc>
        <w:tc>
          <w:tcPr>
            <w:tcW w:w="26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Shares Voted Against or Withheld</w:t>
            </w:r>
          </w:p>
        </w:tc>
      </w:tr>
      <w:tr>
        <w:trPr>
          <w:trHeight w:val="210"/>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James E. deVenny III</w:t>
            </w:r>
          </w:p>
        </w:tc>
        <w:tc>
          <w:tcPr>
            <w:tcW w:w="286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49,211,595</w:t>
            </w:r>
          </w:p>
        </w:tc>
        <w:tc>
          <w:tcPr>
            <w:tcW w:w="278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527,515</w:t>
            </w:r>
          </w:p>
        </w:tc>
      </w:tr>
    </w:tbl>
    <w:p>
      <w:pPr>
        <w:spacing w:after="0" w:line="154"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The directors who were not up for election at the annual meeting but whose terms continued thereafter are Richard E. Anderson, Rodney S. Bond, Benjamin L. Scott and Ake Almgren.</w:t>
      </w:r>
    </w:p>
    <w:p>
      <w:pPr>
        <w:spacing w:after="0" w:line="172" w:lineRule="exact"/>
        <w:rPr>
          <w:sz w:val="20"/>
          <w:szCs w:val="20"/>
          <w:color w:val="auto"/>
        </w:rPr>
      </w:pPr>
    </w:p>
    <w:p>
      <w:pPr>
        <w:ind w:left="900" w:right="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of the appointment of Ernst &amp; Young LLP as independent auditors for the fiscal year ending December 31, 2008. The appointment was approved by the following vote:</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75"/>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Voted in Favor</w:t>
            </w:r>
          </w:p>
        </w:tc>
        <w:tc>
          <w:tcPr>
            <w:tcW w:w="28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Voted Opposed</w:t>
            </w:r>
          </w:p>
        </w:tc>
        <w:tc>
          <w:tcPr>
            <w:tcW w:w="26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Shares Abstaining</w:t>
            </w:r>
          </w:p>
        </w:tc>
      </w:tr>
      <w:tr>
        <w:trPr>
          <w:trHeight w:val="210"/>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39,737,682</w:t>
            </w:r>
          </w:p>
        </w:tc>
        <w:tc>
          <w:tcPr>
            <w:tcW w:w="28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7"/>
              </w:rPr>
              <w:t>1,054,852</w:t>
            </w:r>
          </w:p>
        </w:tc>
        <w:tc>
          <w:tcPr>
            <w:tcW w:w="278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29,247</w:t>
            </w:r>
          </w:p>
        </w:tc>
      </w:tr>
    </w:tbl>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10620" w:type="dxa"/>
            <w:vAlign w:val="bottom"/>
          </w:tcPr>
          <w:p>
            <w:pPr>
              <w:ind w:left="240"/>
              <w:spacing w:after="0"/>
              <w:rPr>
                <w:sz w:val="20"/>
                <w:szCs w:val="20"/>
                <w:color w:val="auto"/>
              </w:rPr>
            </w:pPr>
            <w:r>
              <w:rPr>
                <w:rFonts w:ascii="Arial" w:cs="Arial" w:eastAsia="Arial" w:hAnsi="Arial"/>
                <w:sz w:val="18"/>
                <w:szCs w:val="18"/>
                <w:color w:val="auto"/>
                <w:w w:val="93"/>
              </w:rPr>
              <w:t>Amended and Restated Certificate of Incorporation (filed as Exhibit 3.1 to Active Power’s IPO Registration Statement on Form S-l (SEC File</w:t>
            </w:r>
          </w:p>
        </w:tc>
      </w:tr>
      <w:tr>
        <w:trPr>
          <w:trHeight w:val="222"/>
        </w:trPr>
        <w:tc>
          <w:tcPr>
            <w:tcW w:w="68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No. 333-36946) (the “IPO Registration Statement”))</w:t>
            </w:r>
          </w:p>
        </w:tc>
      </w:tr>
      <w:tr>
        <w:trPr>
          <w:trHeight w:val="324"/>
        </w:trPr>
        <w:tc>
          <w:tcPr>
            <w:tcW w:w="68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10620" w:type="dxa"/>
            <w:vAlign w:val="bottom"/>
          </w:tcPr>
          <w:p>
            <w:pPr>
              <w:ind w:left="240"/>
              <w:spacing w:after="0"/>
              <w:rPr>
                <w:sz w:val="20"/>
                <w:szCs w:val="20"/>
                <w:color w:val="auto"/>
              </w:rPr>
            </w:pPr>
            <w:r>
              <w:rPr>
                <w:rFonts w:ascii="Arial" w:cs="Arial" w:eastAsia="Arial" w:hAnsi="Arial"/>
                <w:sz w:val="18"/>
                <w:szCs w:val="18"/>
                <w:color w:val="auto"/>
                <w:w w:val="97"/>
              </w:rPr>
              <w:t>Second Amended and Restated Bylaws (filed as Exhibit 3.2 to Active Power’s Current Report on Form 8-K filed on February 2, 2007)</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3.3*</w:t>
            </w:r>
          </w:p>
        </w:tc>
        <w:tc>
          <w:tcPr>
            <w:tcW w:w="10620" w:type="dxa"/>
            <w:vAlign w:val="bottom"/>
          </w:tcPr>
          <w:p>
            <w:pPr>
              <w:ind w:left="240"/>
              <w:spacing w:after="0"/>
              <w:rPr>
                <w:sz w:val="20"/>
                <w:szCs w:val="20"/>
                <w:color w:val="auto"/>
              </w:rPr>
            </w:pPr>
            <w:r>
              <w:rPr>
                <w:rFonts w:ascii="Arial" w:cs="Arial" w:eastAsia="Arial" w:hAnsi="Arial"/>
                <w:sz w:val="18"/>
                <w:szCs w:val="18"/>
                <w:color w:val="auto"/>
                <w:w w:val="92"/>
              </w:rPr>
              <w:t>Amendment to Second Amended and Restated Bylaws (filed as Exhibit 3.01 to Active Power’s Current Report on Form 8-K filed December 7,</w:t>
            </w:r>
          </w:p>
        </w:tc>
      </w:tr>
      <w:tr>
        <w:trPr>
          <w:trHeight w:val="222"/>
        </w:trPr>
        <w:tc>
          <w:tcPr>
            <w:tcW w:w="68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2007)</w:t>
            </w:r>
          </w:p>
        </w:tc>
      </w:tr>
      <w:tr>
        <w:trPr>
          <w:trHeight w:val="324"/>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4.1*</w:t>
            </w:r>
          </w:p>
        </w:tc>
        <w:tc>
          <w:tcPr>
            <w:tcW w:w="10620" w:type="dxa"/>
            <w:vAlign w:val="bottom"/>
          </w:tcPr>
          <w:p>
            <w:pPr>
              <w:ind w:left="240"/>
              <w:spacing w:after="0"/>
              <w:rPr>
                <w:sz w:val="20"/>
                <w:szCs w:val="20"/>
                <w:color w:val="auto"/>
              </w:rPr>
            </w:pPr>
            <w:r>
              <w:rPr>
                <w:rFonts w:ascii="Arial" w:cs="Arial" w:eastAsia="Arial" w:hAnsi="Arial"/>
                <w:sz w:val="18"/>
                <w:szCs w:val="18"/>
                <w:color w:val="auto"/>
              </w:rPr>
              <w:t>Specimen certificate for shares of Common Stock (filed as Exhibit 4.1 to the IPO Registration Statement)</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4.2*</w:t>
            </w:r>
          </w:p>
        </w:tc>
        <w:tc>
          <w:tcPr>
            <w:tcW w:w="10620" w:type="dxa"/>
            <w:vAlign w:val="bottom"/>
          </w:tcPr>
          <w:p>
            <w:pPr>
              <w:ind w:left="240"/>
              <w:spacing w:after="0"/>
              <w:rPr>
                <w:sz w:val="20"/>
                <w:szCs w:val="20"/>
                <w:color w:val="auto"/>
              </w:rPr>
            </w:pPr>
            <w:r>
              <w:rPr>
                <w:rFonts w:ascii="Arial" w:cs="Arial" w:eastAsia="Arial" w:hAnsi="Arial"/>
                <w:sz w:val="18"/>
                <w:szCs w:val="18"/>
                <w:color w:val="auto"/>
                <w:w w:val="92"/>
              </w:rPr>
              <w:t>Rights Agreement, dated as of December 13, 2001, between Active Power and Equiserve Trust N.A., which includes the form of Certificate of</w:t>
            </w:r>
          </w:p>
        </w:tc>
      </w:tr>
      <w:tr>
        <w:trPr>
          <w:trHeight w:val="216"/>
        </w:trPr>
        <w:tc>
          <w:tcPr>
            <w:tcW w:w="680" w:type="dxa"/>
            <w:vAlign w:val="bottom"/>
          </w:tcPr>
          <w:p>
            <w:pPr>
              <w:spacing w:after="0"/>
              <w:rPr>
                <w:sz w:val="18"/>
                <w:szCs w:val="18"/>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w w:val="92"/>
              </w:rPr>
              <w:t>Designation for the Series A Junior Participating Preferred Stock as Exhibit A, the form of Rights Certificate as Exhibit B and the Summary of</w:t>
            </w:r>
          </w:p>
        </w:tc>
      </w:tr>
      <w:tr>
        <w:trPr>
          <w:trHeight w:val="216"/>
        </w:trPr>
        <w:tc>
          <w:tcPr>
            <w:tcW w:w="680" w:type="dxa"/>
            <w:vAlign w:val="bottom"/>
          </w:tcPr>
          <w:p>
            <w:pPr>
              <w:spacing w:after="0"/>
              <w:rPr>
                <w:sz w:val="18"/>
                <w:szCs w:val="18"/>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w w:val="89"/>
              </w:rPr>
              <w:t>Rights to Purchase Series A Preferred Stock as Exhibit C (filed as Exhibit 4.1 to Active Power’s Current Report on Form 8-K dated December 13,</w:t>
            </w:r>
          </w:p>
        </w:tc>
      </w:tr>
      <w:tr>
        <w:trPr>
          <w:trHeight w:val="222"/>
        </w:trPr>
        <w:tc>
          <w:tcPr>
            <w:tcW w:w="68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2001)</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10620" w:type="dxa"/>
            <w:vAlign w:val="bottom"/>
          </w:tcPr>
          <w:p>
            <w:pPr>
              <w:ind w:left="240"/>
              <w:spacing w:after="0"/>
              <w:rPr>
                <w:sz w:val="20"/>
                <w:szCs w:val="20"/>
                <w:color w:val="auto"/>
              </w:rPr>
            </w:pPr>
            <w:r>
              <w:rPr>
                <w:rFonts w:ascii="Arial" w:cs="Arial" w:eastAsia="Arial" w:hAnsi="Arial"/>
                <w:sz w:val="18"/>
                <w:szCs w:val="18"/>
                <w:color w:val="auto"/>
                <w:w w:val="92"/>
              </w:rPr>
              <w:t>See Exhibits 3.1 and 3.2 for provisions of the Certificate of Incorporation and Bylaws of the registrant defining the rights of holders of common</w:t>
            </w:r>
          </w:p>
        </w:tc>
      </w:tr>
      <w:tr>
        <w:trPr>
          <w:trHeight w:val="222"/>
        </w:trPr>
        <w:tc>
          <w:tcPr>
            <w:tcW w:w="68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stock</w:t>
            </w:r>
          </w:p>
        </w:tc>
      </w:tr>
      <w:tr>
        <w:trPr>
          <w:trHeight w:val="324"/>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4.4*</w:t>
            </w:r>
          </w:p>
        </w:tc>
        <w:tc>
          <w:tcPr>
            <w:tcW w:w="10620" w:type="dxa"/>
            <w:vAlign w:val="bottom"/>
          </w:tcPr>
          <w:p>
            <w:pPr>
              <w:ind w:left="240"/>
              <w:spacing w:after="0"/>
              <w:rPr>
                <w:sz w:val="20"/>
                <w:szCs w:val="20"/>
                <w:color w:val="auto"/>
              </w:rPr>
            </w:pPr>
            <w:r>
              <w:rPr>
                <w:rFonts w:ascii="Arial" w:cs="Arial" w:eastAsia="Arial" w:hAnsi="Arial"/>
                <w:sz w:val="18"/>
                <w:szCs w:val="18"/>
                <w:color w:val="auto"/>
                <w:w w:val="91"/>
              </w:rPr>
              <w:t>Registration Rights Agreement dated August 14, 2007 (filed as Exhibit 10.2 to Registrant’s Current Report on Form 8-K filed August 14, 2007)</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90"/>
              </w:rPr>
              <w:t>10.1*</w:t>
            </w:r>
          </w:p>
        </w:tc>
        <w:tc>
          <w:tcPr>
            <w:tcW w:w="10620" w:type="dxa"/>
            <w:vAlign w:val="bottom"/>
          </w:tcPr>
          <w:p>
            <w:pPr>
              <w:ind w:left="240"/>
              <w:spacing w:after="0"/>
              <w:rPr>
                <w:sz w:val="20"/>
                <w:szCs w:val="20"/>
                <w:color w:val="auto"/>
              </w:rPr>
            </w:pPr>
            <w:r>
              <w:rPr>
                <w:rFonts w:ascii="Arial" w:cs="Arial" w:eastAsia="Arial" w:hAnsi="Arial"/>
                <w:sz w:val="18"/>
                <w:szCs w:val="18"/>
                <w:color w:val="auto"/>
                <w:w w:val="91"/>
              </w:rPr>
              <w:t>Purchase Agreement effective as of January 1, 2008 between Active Power and Caterpillar, Inc. (filed as Exhibit 10.1 to Registrant’s Quarterly</w:t>
            </w:r>
          </w:p>
        </w:tc>
      </w:tr>
      <w:tr>
        <w:trPr>
          <w:trHeight w:val="222"/>
        </w:trPr>
        <w:tc>
          <w:tcPr>
            <w:tcW w:w="68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Report on Form 10-Q filed on April 28, 2008.)</w:t>
            </w:r>
          </w:p>
        </w:tc>
      </w:tr>
      <w:tr>
        <w:trPr>
          <w:trHeight w:val="324"/>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10.2</w:t>
            </w:r>
          </w:p>
        </w:tc>
        <w:tc>
          <w:tcPr>
            <w:tcW w:w="10620" w:type="dxa"/>
            <w:vAlign w:val="bottom"/>
          </w:tcPr>
          <w:p>
            <w:pPr>
              <w:ind w:left="240"/>
              <w:spacing w:after="0"/>
              <w:rPr>
                <w:sz w:val="20"/>
                <w:szCs w:val="20"/>
                <w:color w:val="auto"/>
              </w:rPr>
            </w:pPr>
            <w:r>
              <w:rPr>
                <w:rFonts w:ascii="Arial" w:cs="Arial" w:eastAsia="Arial" w:hAnsi="Arial"/>
                <w:sz w:val="18"/>
                <w:szCs w:val="18"/>
                <w:color w:val="auto"/>
              </w:rPr>
              <w:t>Form of Change of Control Severance Agreement</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31.1</w:t>
            </w:r>
          </w:p>
        </w:tc>
        <w:tc>
          <w:tcPr>
            <w:tcW w:w="10620" w:type="dxa"/>
            <w:vAlign w:val="bottom"/>
          </w:tcPr>
          <w:p>
            <w:pPr>
              <w:ind w:left="240"/>
              <w:spacing w:after="0"/>
              <w:rPr>
                <w:sz w:val="20"/>
                <w:szCs w:val="20"/>
                <w:color w:val="auto"/>
              </w:rPr>
            </w:pPr>
            <w:r>
              <w:rPr>
                <w:rFonts w:ascii="Arial" w:cs="Arial" w:eastAsia="Arial" w:hAnsi="Arial"/>
                <w:sz w:val="18"/>
                <w:szCs w:val="18"/>
                <w:color w:val="auto"/>
                <w:w w:val="93"/>
              </w:rPr>
              <w:t>Certification of Chief Executive Officer pursuant to Exchange Act Rules 13a-14(a) and 15d-14(a), as adopted pursuant to Section 302 of the</w:t>
            </w:r>
          </w:p>
        </w:tc>
      </w:tr>
      <w:tr>
        <w:trPr>
          <w:trHeight w:val="222"/>
        </w:trPr>
        <w:tc>
          <w:tcPr>
            <w:tcW w:w="68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Sarbanes-Oxley Act of 2003</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31.2</w:t>
            </w:r>
          </w:p>
        </w:tc>
        <w:tc>
          <w:tcPr>
            <w:tcW w:w="1062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pursuant to Exchange Act Rules 13a-14(a) and 15(d)-14(a), as adopted pursuant to Section 302 of the</w:t>
            </w:r>
          </w:p>
        </w:tc>
      </w:tr>
      <w:tr>
        <w:trPr>
          <w:trHeight w:val="222"/>
        </w:trPr>
        <w:tc>
          <w:tcPr>
            <w:tcW w:w="68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Sarbanes-Oxley Act of 2003</w:t>
            </w:r>
          </w:p>
        </w:tc>
      </w:tr>
      <w:tr>
        <w:trPr>
          <w:trHeight w:val="324"/>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32.1</w:t>
            </w:r>
          </w:p>
        </w:tc>
        <w:tc>
          <w:tcPr>
            <w:tcW w:w="10620" w:type="dxa"/>
            <w:vAlign w:val="bottom"/>
          </w:tcPr>
          <w:p>
            <w:pPr>
              <w:ind w:left="240"/>
              <w:spacing w:after="0"/>
              <w:rPr>
                <w:sz w:val="20"/>
                <w:szCs w:val="20"/>
                <w:color w:val="auto"/>
              </w:rPr>
            </w:pPr>
            <w:r>
              <w:rPr>
                <w:rFonts w:ascii="Arial" w:cs="Arial" w:eastAsia="Arial" w:hAnsi="Arial"/>
                <w:sz w:val="18"/>
                <w:szCs w:val="18"/>
                <w:color w:val="auto"/>
                <w:w w:val="88"/>
              </w:rPr>
              <w:t>Certification of Chief Executive Officer pursuant to 18 U.S.C. Section 1350, as adopted pursuant to Section 906 of the Sarbanes-Oxley Act of 2003</w:t>
            </w:r>
          </w:p>
        </w:tc>
      </w:tr>
      <w:tr>
        <w:trPr>
          <w:trHeight w:val="324"/>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32.2</w:t>
            </w:r>
          </w:p>
        </w:tc>
        <w:tc>
          <w:tcPr>
            <w:tcW w:w="10620" w:type="dxa"/>
            <w:vAlign w:val="bottom"/>
          </w:tcPr>
          <w:p>
            <w:pPr>
              <w:ind w:left="24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the indicated filing.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40" w:type="dxa"/>
            <w:vAlign w:val="bottom"/>
          </w:tcPr>
          <w:p>
            <w:pPr>
              <w:ind w:left="1660"/>
              <w:spacing w:after="0"/>
              <w:rPr>
                <w:sz w:val="20"/>
                <w:szCs w:val="20"/>
                <w:color w:val="auto"/>
              </w:rPr>
            </w:pPr>
            <w:r>
              <w:rPr>
                <w:rFonts w:ascii="Arial" w:cs="Arial" w:eastAsia="Arial" w:hAnsi="Arial"/>
                <w:sz w:val="18"/>
                <w:szCs w:val="18"/>
                <w:b w:val="1"/>
                <w:bCs w:val="1"/>
                <w:color w:val="auto"/>
              </w:rPr>
              <w:t>ACTIVE POWER, INC.</w:t>
            </w:r>
          </w:p>
        </w:tc>
      </w:tr>
      <w:tr>
        <w:trPr>
          <w:trHeight w:val="222"/>
        </w:trPr>
        <w:tc>
          <w:tcPr>
            <w:tcW w:w="33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40" w:type="dxa"/>
            <w:vAlign w:val="bottom"/>
          </w:tcPr>
          <w:p>
            <w:pPr>
              <w:ind w:left="2160"/>
              <w:spacing w:after="0"/>
              <w:rPr>
                <w:sz w:val="20"/>
                <w:szCs w:val="20"/>
                <w:color w:val="auto"/>
              </w:rPr>
            </w:pPr>
            <w:r>
              <w:rPr>
                <w:rFonts w:ascii="Arial" w:cs="Arial" w:eastAsia="Arial" w:hAnsi="Arial"/>
                <w:sz w:val="18"/>
                <w:szCs w:val="18"/>
                <w:color w:val="auto"/>
              </w:rPr>
              <w:t>(Registrant)</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July 28, 2008</w:t>
            </w:r>
          </w:p>
        </w:tc>
        <w:tc>
          <w:tcPr>
            <w:tcW w:w="298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Clishem</w:t>
            </w:r>
          </w:p>
        </w:tc>
      </w:tr>
      <w:tr>
        <w:trPr>
          <w:trHeight w:val="217"/>
        </w:trPr>
        <w:tc>
          <w:tcPr>
            <w:tcW w:w="330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James A. Clishem</w:t>
            </w:r>
          </w:p>
        </w:tc>
      </w:tr>
      <w:tr>
        <w:trPr>
          <w:trHeight w:val="216"/>
        </w:trPr>
        <w:tc>
          <w:tcPr>
            <w:tcW w:w="3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33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3300" w:type="dxa"/>
            <w:vAlign w:val="bottom"/>
          </w:tcPr>
          <w:p>
            <w:pPr>
              <w:spacing w:after="0"/>
              <w:rPr>
                <w:sz w:val="20"/>
                <w:szCs w:val="20"/>
                <w:color w:val="auto"/>
              </w:rPr>
            </w:pPr>
            <w:r>
              <w:rPr>
                <w:rFonts w:ascii="Arial" w:cs="Arial" w:eastAsia="Arial" w:hAnsi="Arial"/>
                <w:sz w:val="18"/>
                <w:szCs w:val="18"/>
                <w:color w:val="auto"/>
              </w:rPr>
              <w:t>July 28, 2008</w:t>
            </w:r>
          </w:p>
        </w:tc>
        <w:tc>
          <w:tcPr>
            <w:tcW w:w="298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Penver</w:t>
            </w:r>
          </w:p>
        </w:tc>
      </w:tr>
      <w:tr>
        <w:trPr>
          <w:trHeight w:val="217"/>
        </w:trPr>
        <w:tc>
          <w:tcPr>
            <w:tcW w:w="330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John K. Penver</w:t>
            </w:r>
          </w:p>
        </w:tc>
      </w:tr>
      <w:tr>
        <w:trPr>
          <w:trHeight w:val="216"/>
        </w:trPr>
        <w:tc>
          <w:tcPr>
            <w:tcW w:w="3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of Finance, Chief Financial Officer and Secretary</w:t>
            </w:r>
          </w:p>
        </w:tc>
      </w:tr>
      <w:tr>
        <w:trPr>
          <w:trHeight w:val="222"/>
        </w:trPr>
        <w:tc>
          <w:tcPr>
            <w:tcW w:w="33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378"/>
        </w:trPr>
        <w:tc>
          <w:tcPr>
            <w:tcW w:w="3300" w:type="dxa"/>
            <w:vAlign w:val="bottom"/>
          </w:tcPr>
          <w:p>
            <w:pPr>
              <w:spacing w:after="0"/>
              <w:rPr>
                <w:sz w:val="24"/>
                <w:szCs w:val="24"/>
                <w:color w:val="auto"/>
              </w:rPr>
            </w:pPr>
          </w:p>
        </w:tc>
        <w:tc>
          <w:tcPr>
            <w:tcW w:w="2980" w:type="dxa"/>
            <w:vAlign w:val="bottom"/>
          </w:tcPr>
          <w:p>
            <w:pPr>
              <w:jc w:val="right"/>
              <w:ind w:right="392"/>
              <w:spacing w:after="0"/>
              <w:rPr>
                <w:sz w:val="20"/>
                <w:szCs w:val="20"/>
                <w:color w:val="auto"/>
              </w:rPr>
            </w:pPr>
            <w:r>
              <w:rPr>
                <w:rFonts w:ascii="Arial" w:cs="Arial" w:eastAsia="Arial" w:hAnsi="Arial"/>
                <w:sz w:val="18"/>
                <w:szCs w:val="18"/>
                <w:color w:val="auto"/>
              </w:rPr>
              <w:t>15</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CHANGE OF CONTROL SEVERANCE AGREEMENT</w:t>
      </w:r>
    </w:p>
    <w:p>
      <w:pPr>
        <w:spacing w:after="0" w:line="177" w:lineRule="exact"/>
        <w:rPr>
          <w:sz w:val="20"/>
          <w:szCs w:val="20"/>
          <w:color w:val="auto"/>
        </w:rPr>
      </w:pPr>
    </w:p>
    <w:p>
      <w:pPr>
        <w:spacing w:after="0"/>
        <w:tabs>
          <w:tab w:leader="none" w:pos="7340" w:val="left"/>
        </w:tabs>
        <w:rPr>
          <w:sz w:val="20"/>
          <w:szCs w:val="20"/>
          <w:color w:val="auto"/>
        </w:rPr>
      </w:pPr>
      <w:r>
        <w:rPr>
          <w:rFonts w:ascii="Arial" w:cs="Arial" w:eastAsia="Arial" w:hAnsi="Arial"/>
          <w:sz w:val="18"/>
          <w:szCs w:val="18"/>
          <w:color w:val="auto"/>
        </w:rPr>
        <w:t>THIS CHANGE OF CONTROL SEVERANCE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w:t>
      </w:r>
      <w:r>
        <w:rPr>
          <w:sz w:val="20"/>
          <w:szCs w:val="20"/>
          <w:color w:val="auto"/>
        </w:rPr>
        <w:tab/>
      </w:r>
      <w:r>
        <w:rPr>
          <w:rFonts w:ascii="Arial" w:cs="Arial" w:eastAsia="Arial" w:hAnsi="Arial"/>
          <w:sz w:val="16"/>
          <w:szCs w:val="16"/>
          <w:color w:val="auto"/>
        </w:rPr>
        <w:t>day of July, 2008 between Active Power, Inc.,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4535170</wp:posOffset>
            </wp:positionH>
            <wp:positionV relativeFrom="paragraph">
              <wp:posOffset>-13970</wp:posOffset>
            </wp:positionV>
            <wp:extent cx="1117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2340" w:type="dxa"/>
            <w:vAlign w:val="bottom"/>
            <w:gridSpan w:val="6"/>
          </w:tcPr>
          <w:p>
            <w:pPr>
              <w:spacing w:after="0" w:line="193" w:lineRule="exact"/>
              <w:rPr>
                <w:sz w:val="20"/>
                <w:szCs w:val="20"/>
                <w:color w:val="auto"/>
              </w:rPr>
            </w:pPr>
            <w:r>
              <w:rPr>
                <w:rFonts w:ascii="Arial" w:cs="Arial" w:eastAsia="Arial" w:hAnsi="Arial"/>
                <w:sz w:val="18"/>
                <w:szCs w:val="18"/>
                <w:color w:val="auto"/>
              </w:rPr>
              <w:t>“Company”), and</w:t>
            </w:r>
          </w:p>
        </w:tc>
        <w:tc>
          <w:tcPr>
            <w:tcW w:w="2380" w:type="dxa"/>
            <w:vAlign w:val="bottom"/>
            <w:gridSpan w:val="2"/>
          </w:tcPr>
          <w:p>
            <w:pPr>
              <w:ind w:left="540"/>
              <w:spacing w:after="0" w:line="193" w:lineRule="exact"/>
              <w:rPr>
                <w:sz w:val="20"/>
                <w:szCs w:val="20"/>
                <w:color w:val="auto"/>
              </w:rPr>
            </w:pPr>
            <w:r>
              <w:rPr>
                <w:rFonts w:ascii="Arial" w:cs="Arial" w:eastAsia="Arial" w:hAnsi="Arial"/>
                <w:sz w:val="18"/>
                <w:szCs w:val="18"/>
                <w:color w:val="auto"/>
                <w:w w:val="91"/>
              </w:rPr>
              <w:t>, an individual resident of</w:t>
            </w:r>
          </w:p>
        </w:tc>
        <w:tc>
          <w:tcPr>
            <w:tcW w:w="1740" w:type="dxa"/>
            <w:vAlign w:val="bottom"/>
          </w:tcPr>
          <w:p>
            <w:pPr>
              <w:spacing w:after="0"/>
              <w:rPr>
                <w:sz w:val="16"/>
                <w:szCs w:val="16"/>
                <w:color w:val="auto"/>
              </w:rPr>
            </w:pPr>
          </w:p>
        </w:tc>
        <w:tc>
          <w:tcPr>
            <w:tcW w:w="4840" w:type="dxa"/>
            <w:vAlign w:val="bottom"/>
            <w:gridSpan w:val="3"/>
          </w:tcPr>
          <w:p>
            <w:pPr>
              <w:ind w:left="60"/>
              <w:spacing w:after="0" w:line="193" w:lineRule="exact"/>
              <w:rPr>
                <w:sz w:val="20"/>
                <w:szCs w:val="20"/>
                <w:color w:val="auto"/>
              </w:rPr>
            </w:pPr>
            <w:r>
              <w:rPr>
                <w:rFonts w:ascii="Arial" w:cs="Arial" w:eastAsia="Arial" w:hAnsi="Arial"/>
                <w:sz w:val="18"/>
                <w:szCs w:val="18"/>
                <w:color w:val="auto"/>
                <w:w w:val="89"/>
              </w:rPr>
              <w:t>(“Employee”). Employee and the Company are collectively referred</w:t>
            </w:r>
          </w:p>
        </w:tc>
      </w:tr>
      <w:tr>
        <w:trPr>
          <w:trHeight w:val="20"/>
        </w:trPr>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2340" w:type="dxa"/>
            <w:vAlign w:val="bottom"/>
            <w:gridSpan w:val="6"/>
          </w:tcPr>
          <w:p>
            <w:pPr>
              <w:spacing w:after="0" w:line="196" w:lineRule="exact"/>
              <w:rPr>
                <w:sz w:val="20"/>
                <w:szCs w:val="20"/>
                <w:color w:val="auto"/>
              </w:rPr>
            </w:pPr>
            <w:r>
              <w:rPr>
                <w:rFonts w:ascii="Arial" w:cs="Arial" w:eastAsia="Arial" w:hAnsi="Arial"/>
                <w:sz w:val="18"/>
                <w:szCs w:val="18"/>
                <w:color w:val="auto"/>
              </w:rPr>
              <w:t>to herein as the “Parties.”</w:t>
            </w: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bl>
    <w:p>
      <w:pPr>
        <w:spacing w:after="0" w:line="181" w:lineRule="exact"/>
        <w:rPr>
          <w:sz w:val="20"/>
          <w:szCs w:val="20"/>
          <w:color w:val="auto"/>
        </w:rPr>
      </w:pPr>
    </w:p>
    <w:p>
      <w:pPr>
        <w:ind w:firstLine="464"/>
        <w:spacing w:after="0" w:line="298"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At-Will Employment Status; Term</w:t>
      </w:r>
      <w:r>
        <w:rPr>
          <w:rFonts w:ascii="Arial" w:cs="Arial" w:eastAsia="Arial" w:hAnsi="Arial"/>
          <w:sz w:val="16"/>
          <w:szCs w:val="16"/>
          <w:color w:val="auto"/>
        </w:rPr>
        <w:t>. Employee is currently employed by the Company. Employee is employed on an “at will” basis, which means that either the Company or Employee may terminate Employee’s employment with the Company at any time and for any or no reason. This Agreement shall terminate upon the date that all obligations of the parties hereto under this Agreement have been satisfied or, if earlier, on the date, prior to a Change in Control (as defined in the Active Power, Inc. 2000 Stock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Employee is no longer employed by the Company.</w:t>
      </w:r>
    </w:p>
    <w:p>
      <w:pPr>
        <w:spacing w:after="0" w:line="112" w:lineRule="exact"/>
        <w:rPr>
          <w:rFonts w:ascii="Arial" w:cs="Arial" w:eastAsia="Arial" w:hAnsi="Arial"/>
          <w:sz w:val="16"/>
          <w:szCs w:val="16"/>
          <w:color w:val="auto"/>
        </w:rPr>
      </w:pPr>
    </w:p>
    <w:p>
      <w:pPr>
        <w:ind w:firstLine="464"/>
        <w:spacing w:after="0" w:line="288"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Acceleration Upon Termination After a Change in Control</w:t>
      </w:r>
      <w:r>
        <w:rPr>
          <w:rFonts w:ascii="Arial" w:cs="Arial" w:eastAsia="Arial" w:hAnsi="Arial"/>
          <w:sz w:val="16"/>
          <w:szCs w:val="16"/>
          <w:color w:val="auto"/>
        </w:rPr>
        <w:t>. Although Employee’s employment is at-will, in the event that Employee is terminated by the Company without Cause (as defined below) or resigns with Good Reason (as defined below) within twelve months after a Change in Control, all shares of stock that are issuable upon exercise of all options granted to Employee by the Company prior to the date of the Change in Control shall fully vest as of the date of such termination, to the extent such stock options are outstanding and unvested at the date of such termination, and all shares of stock of the Company that were purchased prior to the Change in Control and that is subject to a right of repurchase by the Company (or its successor) shall have such right of repurchase lapse with respect to all of the shares. If Employee’s employment with the Company terminates other than as a result of a termination by the Company without Cause or resignation with Good Reason within the twelve months following a Change of Control, then Employee shall not be entitled to receive any benefits hereunder, but may be eligible for those benefits (if any) as may then be established under the Company’s then existing severance and benefits plans and policies at the time of such termination.</w:t>
      </w:r>
    </w:p>
    <w:p>
      <w:pPr>
        <w:spacing w:after="0" w:line="119" w:lineRule="exact"/>
        <w:rPr>
          <w:rFonts w:ascii="Arial" w:cs="Arial" w:eastAsia="Arial" w:hAnsi="Arial"/>
          <w:sz w:val="16"/>
          <w:szCs w:val="16"/>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Any accelerated vesting contemplated by Section 2 above are conditional on Employee:</w:t>
      </w:r>
    </w:p>
    <w:p>
      <w:pPr>
        <w:spacing w:after="0" w:line="90" w:lineRule="exact"/>
        <w:rPr>
          <w:rFonts w:ascii="Arial" w:cs="Arial" w:eastAsia="Arial" w:hAnsi="Arial"/>
          <w:sz w:val="18"/>
          <w:szCs w:val="18"/>
          <w:color w:val="auto"/>
        </w:rPr>
      </w:pPr>
    </w:p>
    <w:p>
      <w:pPr>
        <w:ind w:firstLine="921"/>
        <w:spacing w:after="0" w:line="268" w:lineRule="auto"/>
        <w:tabs>
          <w:tab w:leader="none" w:pos="1152"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continuing to comply with the terms of this Agreement and the Proprietary Information and Nondisclosure Agreement between Employee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60" w:firstLine="921"/>
        <w:spacing w:after="0" w:line="259" w:lineRule="auto"/>
        <w:tabs>
          <w:tab w:leader="none" w:pos="116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delivering and not revoking, a separation agreement including a general release of claims relating to Employee’s employment and/or this Agreement against the Company or its successor, its subsidiaries and their respective directors, officers and stockholders and affirmation of obligations hereunder and under the Confidentiality Agreement in a form acceptable to the Company or its successor; and</w:t>
      </w:r>
    </w:p>
    <w:p>
      <w:pPr>
        <w:spacing w:after="0" w:line="140" w:lineRule="exact"/>
        <w:rPr>
          <w:rFonts w:ascii="Arial" w:cs="Arial" w:eastAsia="Arial" w:hAnsi="Arial"/>
          <w:sz w:val="18"/>
          <w:szCs w:val="18"/>
          <w:color w:val="auto"/>
        </w:rPr>
      </w:pPr>
    </w:p>
    <w:p>
      <w:pPr>
        <w:ind w:right="20" w:firstLine="921"/>
        <w:spacing w:after="0" w:line="259" w:lineRule="auto"/>
        <w:tabs>
          <w:tab w:leader="none" w:pos="1152"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the event of a resignation for Good Reason, providing the Company with written notice of the acts or omissions constituting the grounds for Good Reason within ninety (90) days of the initial existence of the grounds for Good Reason and a reasonable opportunity for the Company to cure the conditions giving rise to such Good Reason, which shall not be less</w:t>
      </w:r>
    </w:p>
    <w:p>
      <w:pPr>
        <w:sectPr>
          <w:pgSz w:w="11900" w:h="16838" w:orient="portrait"/>
          <w:cols w:equalWidth="0" w:num="1">
            <w:col w:w="11420"/>
          </w:cols>
          <w:pgMar w:left="240" w:top="125" w:right="239" w:bottom="1440" w:gutter="0" w:footer="0" w:header="0"/>
        </w:sectPr>
      </w:pPr>
    </w:p>
    <w:bookmarkStart w:id="18" w:name="page19"/>
    <w:bookmarkEnd w:id="18"/>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than thirty (30) days following the date of notice from Employee. If the Company cures the conditions giving rise to such Good Reason within thirty (30) days of the date of such notice, Employee will not be entitled to severance payments and/or benefits contemplated by Section 2 above if Employee thereafter resigns from the Company based on such grounds. Unless otherwise required by law, no severance payments and/or benefits under Section 2 will be paid and/or provided until after the expiration of any relevant revocation period.</w:t>
      </w:r>
    </w:p>
    <w:p>
      <w:pPr>
        <w:spacing w:after="0" w:line="143" w:lineRule="exact"/>
        <w:rPr>
          <w:sz w:val="20"/>
          <w:szCs w:val="20"/>
          <w:color w:val="auto"/>
        </w:rPr>
      </w:pPr>
    </w:p>
    <w:p>
      <w:pPr>
        <w:ind w:left="640" w:hanging="176"/>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90" w:lineRule="exact"/>
        <w:rPr>
          <w:rFonts w:ascii="Arial" w:cs="Arial" w:eastAsia="Arial" w:hAnsi="Arial"/>
          <w:sz w:val="18"/>
          <w:szCs w:val="18"/>
          <w:color w:val="auto"/>
        </w:rPr>
      </w:pPr>
    </w:p>
    <w:p>
      <w:pPr>
        <w:ind w:right="140" w:firstLine="921"/>
        <w:spacing w:after="0" w:line="283" w:lineRule="auto"/>
        <w:tabs>
          <w:tab w:leader="none" w:pos="1152" w:val="left"/>
        </w:tabs>
        <w:numPr>
          <w:ilvl w:val="2"/>
          <w:numId w:val="10"/>
        </w:numPr>
        <w:rPr>
          <w:rFonts w:ascii="Arial" w:cs="Arial" w:eastAsia="Arial" w:hAnsi="Arial"/>
          <w:sz w:val="16"/>
          <w:szCs w:val="16"/>
          <w:color w:val="auto"/>
        </w:rPr>
      </w:pPr>
      <w:r>
        <w:rPr>
          <w:rFonts w:ascii="Arial" w:cs="Arial" w:eastAsia="Arial" w:hAnsi="Arial"/>
          <w:sz w:val="16"/>
          <w:szCs w:val="16"/>
          <w:i w:val="1"/>
          <w:iCs w:val="1"/>
          <w:color w:val="auto"/>
        </w:rPr>
        <w:t>Cause</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shall mean (i) Employee’s continued failure to substantially perform the duties and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Employee’s position (for reasons other than death or Disability), which failure, if curable within the discretion of the Company, is not cured to the reasonable satisfaction of the Company within thirty (30) days after receipt of written notice from the Company of such failure; (ii) Employee’s failure or refusal to comply with reasonable written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w:t>
      </w:r>
    </w:p>
    <w:p>
      <w:pPr>
        <w:spacing w:after="0" w:line="2" w:lineRule="exact"/>
        <w:rPr>
          <w:rFonts w:ascii="Arial" w:cs="Arial" w:eastAsia="Arial" w:hAnsi="Arial"/>
          <w:sz w:val="16"/>
          <w:szCs w:val="16"/>
          <w:color w:val="auto"/>
        </w:rPr>
      </w:pPr>
    </w:p>
    <w:p>
      <w:pPr>
        <w:ind w:firstLine="8"/>
        <w:spacing w:after="0" w:line="295" w:lineRule="auto"/>
        <w:tabs>
          <w:tab w:leader="none" w:pos="307"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act of personal dishonesty, fraud, embezzlement, misrepresentation, or other unlawful act committed by Employee that results in a substantial gain or personal enrichment of Employee at the expense of the Company; (iv) Employee’s violation of a federal or state law or regulation applicable to the Company’s business, which violation was or is reasonably likely to be materially injurious to the Company; (v) Employee’s violation of, or a plea of nolo contendere or guilty to, a felony under the laws of the United States or any state; or (vi) the Employee’s material breach of the terms of the Confidentiality Agreement.</w:t>
      </w:r>
    </w:p>
    <w:p>
      <w:pPr>
        <w:spacing w:after="0" w:line="115" w:lineRule="exact"/>
        <w:rPr>
          <w:rFonts w:ascii="Arial" w:cs="Arial" w:eastAsia="Arial" w:hAnsi="Arial"/>
          <w:sz w:val="16"/>
          <w:szCs w:val="16"/>
          <w:color w:val="auto"/>
        </w:rPr>
      </w:pPr>
    </w:p>
    <w:p>
      <w:pPr>
        <w:ind w:right="100" w:firstLine="921"/>
        <w:spacing w:after="0" w:line="305" w:lineRule="auto"/>
        <w:tabs>
          <w:tab w:leader="none" w:pos="1161" w:val="left"/>
        </w:tabs>
        <w:numPr>
          <w:ilvl w:val="2"/>
          <w:numId w:val="11"/>
        </w:numPr>
        <w:rPr>
          <w:rFonts w:ascii="Arial" w:cs="Arial" w:eastAsia="Arial" w:hAnsi="Arial"/>
          <w:sz w:val="15"/>
          <w:szCs w:val="15"/>
          <w:color w:val="auto"/>
        </w:rPr>
      </w:pPr>
      <w:r>
        <w:rPr>
          <w:rFonts w:ascii="Arial" w:cs="Arial" w:eastAsia="Arial" w:hAnsi="Arial"/>
          <w:sz w:val="15"/>
          <w:szCs w:val="15"/>
          <w:i w:val="1"/>
          <w:iCs w:val="1"/>
          <w:color w:val="auto"/>
        </w:rPr>
        <w:t>Good Reason</w:t>
      </w:r>
      <w:r>
        <w:rPr>
          <w:rFonts w:ascii="Arial" w:cs="Arial" w:eastAsia="Arial" w:hAnsi="Arial"/>
          <w:sz w:val="15"/>
          <w:szCs w:val="15"/>
          <w:color w:val="auto"/>
        </w:rPr>
        <w:t>. For purposes of this Agreement, “</w:t>
      </w:r>
      <w:r>
        <w:rPr>
          <w:rFonts w:ascii="Arial" w:cs="Arial" w:eastAsia="Arial" w:hAnsi="Arial"/>
          <w:sz w:val="15"/>
          <w:szCs w:val="15"/>
          <w:u w:val="single" w:color="auto"/>
          <w:color w:val="auto"/>
        </w:rPr>
        <w:t>Good Reason</w:t>
      </w:r>
      <w:r>
        <w:rPr>
          <w:rFonts w:ascii="Arial" w:cs="Arial" w:eastAsia="Arial" w:hAnsi="Arial"/>
          <w:sz w:val="15"/>
          <w:szCs w:val="15"/>
          <w:color w:val="auto"/>
        </w:rPr>
        <w:t>” shall mean, without Employee’s written consent: (i) there is a material reduction</w:t>
      </w:r>
      <w:r>
        <w:rPr>
          <w:rFonts w:ascii="Arial" w:cs="Arial" w:eastAsia="Arial" w:hAnsi="Arial"/>
          <w:sz w:val="15"/>
          <w:szCs w:val="15"/>
          <w:i w:val="1"/>
          <w:iCs w:val="1"/>
          <w:color w:val="auto"/>
        </w:rPr>
        <w:t xml:space="preserve"> </w:t>
      </w:r>
      <w:r>
        <w:rPr>
          <w:rFonts w:ascii="Arial" w:cs="Arial" w:eastAsia="Arial" w:hAnsi="Arial"/>
          <w:sz w:val="15"/>
          <w:szCs w:val="15"/>
          <w:color w:val="auto"/>
        </w:rPr>
        <w:t>of the level of Employee’s compensation (excluding any bonuses) (except where there is a general reduction applicable to the management team generally);</w:t>
      </w:r>
    </w:p>
    <w:p>
      <w:pPr>
        <w:ind w:right="80" w:firstLine="8"/>
        <w:spacing w:after="0" w:line="253" w:lineRule="auto"/>
        <w:tabs>
          <w:tab w:leader="none" w:pos="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a material reduction in Employee’s overall responsibilities or authority, or scope of duties, it being understood that a reduction in Employee’s responsibilities or authority following a Change in Control (as defined in the Plan) shall not constitute Good Reason unless there also occurs a demotion in Employee’s title or position; or (iii) a material change in the geographic location at which Employee must perform his services; provided, that in no instance will the relocation of Employee to a facility or a location of fifty (50) miles or less from Employee’s then current office location be deemed material for purposes of this Agreement.</w:t>
      </w:r>
    </w:p>
    <w:p>
      <w:pPr>
        <w:spacing w:after="0" w:line="145" w:lineRule="exact"/>
        <w:rPr>
          <w:rFonts w:ascii="Arial" w:cs="Arial" w:eastAsia="Arial" w:hAnsi="Arial"/>
          <w:sz w:val="18"/>
          <w:szCs w:val="18"/>
          <w:color w:val="auto"/>
        </w:rPr>
      </w:pPr>
    </w:p>
    <w:p>
      <w:pPr>
        <w:ind w:left="1160" w:hanging="239"/>
        <w:spacing w:after="0"/>
        <w:tabs>
          <w:tab w:leader="none" w:pos="11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Board shall make all determinations relating to termination, including without limitation any determination regarding Cause.</w:t>
      </w:r>
    </w:p>
    <w:p>
      <w:pPr>
        <w:spacing w:after="0" w:line="171" w:lineRule="exact"/>
        <w:rPr>
          <w:rFonts w:ascii="Arial" w:cs="Arial" w:eastAsia="Arial" w:hAnsi="Arial"/>
          <w:sz w:val="18"/>
          <w:szCs w:val="18"/>
          <w:color w:val="auto"/>
        </w:rPr>
      </w:pPr>
    </w:p>
    <w:p>
      <w:pPr>
        <w:ind w:firstLine="464"/>
        <w:spacing w:after="0" w:line="306" w:lineRule="auto"/>
        <w:tabs>
          <w:tab w:leader="none" w:pos="632"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Tax Treatment</w:t>
      </w:r>
      <w:r>
        <w:rPr>
          <w:rFonts w:ascii="Arial" w:cs="Arial" w:eastAsia="Arial" w:hAnsi="Arial"/>
          <w:sz w:val="16"/>
          <w:szCs w:val="16"/>
          <w:color w:val="auto"/>
        </w:rPr>
        <w:t>. The Company makes no representations or warranties with respect to the tax consequences of the benefits to Employee under the terms of this Agreement. Employee agrees and understands that Employee is responsible for payment of any local, state and/or federal taxes on the sums paid hereunder by the Company and any penalties or assessments thereon. Employee further agrees to indemnify and hold the Company harmless from 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9" w:name="page20"/>
    <w:bookmarkEnd w:id="19"/>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claims, demands, deficiencies, penalties, assessments, executions, judgments, or recoveries by any government agency against the Company for any amounts claimed due on account of Employee’s failure to pay federal or state taxes or damages sustained by the Company by reason of any such claims, including reasonable attorney fees.</w:t>
      </w:r>
    </w:p>
    <w:p>
      <w:pPr>
        <w:spacing w:after="0" w:line="140"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85" w:lineRule="auto"/>
        <w:tabs>
          <w:tab w:leader="none" w:pos="1152"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Employee is a “specified employee” within the meaning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final regulations and any guidance promulgated thereunder (“</w:t>
      </w:r>
      <w:r>
        <w:rPr>
          <w:rFonts w:ascii="Arial" w:cs="Arial" w:eastAsia="Arial" w:hAnsi="Arial"/>
          <w:sz w:val="16"/>
          <w:szCs w:val="16"/>
          <w:u w:val="single" w:color="auto"/>
          <w:color w:val="auto"/>
        </w:rPr>
        <w:t>Section 409A</w:t>
      </w:r>
      <w:r>
        <w:rPr>
          <w:rFonts w:ascii="Arial" w:cs="Arial" w:eastAsia="Arial" w:hAnsi="Arial"/>
          <w:sz w:val="16"/>
          <w:szCs w:val="16"/>
          <w:color w:val="auto"/>
        </w:rPr>
        <w:t>”) at the time of Employee’s termination (other than due to death), and the continuing severance pay payable to Employee, if any, pursuant to this Agreement, when considered together with any other severance payments or separation benefits which may be considered deferred compensation under Section 409A (together, the “</w:t>
      </w:r>
      <w:r>
        <w:rPr>
          <w:rFonts w:ascii="Arial" w:cs="Arial" w:eastAsia="Arial" w:hAnsi="Arial"/>
          <w:sz w:val="16"/>
          <w:szCs w:val="16"/>
          <w:u w:val="single" w:color="auto"/>
          <w:color w:val="auto"/>
        </w:rPr>
        <w:t>Deferred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Compensation Separation Benefits</w:t>
      </w:r>
      <w:r>
        <w:rPr>
          <w:rFonts w:ascii="Arial" w:cs="Arial" w:eastAsia="Arial" w:hAnsi="Arial"/>
          <w:sz w:val="16"/>
          <w:szCs w:val="16"/>
          <w:color w:val="auto"/>
        </w:rPr>
        <w:t>”) will not and could not under any circumstances, regardless of when such termination occurs, be paid in full by March 15 of the year following Employee’s termination, then only that portion of the Deferred Compensation Separation Benefits which do not exceed the Section 409A Limit (as defined below) may be made within the first six (6) months following Employee’s termination of employment in accordance with the payment schedule applicable to each payment or benefit. For these purposes, each severance payment is hereby designated as a separate payment and will not collectively be treated as a single payment. Any portion of the Deferred Compensation Separation Benefits in excess of the Section 409A Limit shall accrue and, to the extent such portion of the Deferred Compensation Separation Benefits would otherwise have been payable within the first six (6) months following Employee’s termination of employment, will become payable on the first payroll date that occurs on or after the date six (6) months and one (1) day following the date of Employee’s termination. All subsequent Deferred Compensation Separation Benefits, if any, will be payable in accordance with the payment schedule applicable to each payment or benefit. Notwithstanding anything herein to the contrary, if Employee dies following Employee’s termination but prior to the six (6) month anniversary of Employee’s termination, then any payments delayed in accordance with this paragraph will be payable in a lump sum as soon as administratively practicable after the date of Employee’s death and all other Deferred Compensation Separation Benefits will be payable in accordance with the payment schedule applicable to each payment or benefit.</w:t>
      </w:r>
    </w:p>
    <w:p>
      <w:pPr>
        <w:spacing w:after="0" w:line="123" w:lineRule="exact"/>
        <w:rPr>
          <w:rFonts w:ascii="Arial" w:cs="Arial" w:eastAsia="Arial" w:hAnsi="Arial"/>
          <w:sz w:val="16"/>
          <w:szCs w:val="16"/>
          <w:color w:val="auto"/>
        </w:rPr>
      </w:pPr>
    </w:p>
    <w:p>
      <w:pPr>
        <w:jc w:val="both"/>
        <w:ind w:right="100" w:firstLine="921"/>
        <w:spacing w:after="0" w:line="298" w:lineRule="auto"/>
        <w:tabs>
          <w:tab w:leader="none" w:pos="1162"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foregoing provision is intended to comply with the requirements of Section 409A so that none of the severance payments and benefits to be provided hereunder will be subject to the additional tax imposed under Section 409A, and any ambiguities herein will be interpreted to so comply. The Company and Employee agree to work together in good faith to consider amendments to this Agreement and to take such reasonable actions which are necessary, appropriate or desirable to avoid imposition of any additional tax or income recognition prior to actual payment to Employee under Section 409A.</w:t>
      </w:r>
    </w:p>
    <w:p>
      <w:pPr>
        <w:spacing w:after="0" w:line="112" w:lineRule="exact"/>
        <w:rPr>
          <w:rFonts w:ascii="Arial" w:cs="Arial" w:eastAsia="Arial" w:hAnsi="Arial"/>
          <w:sz w:val="16"/>
          <w:szCs w:val="16"/>
          <w:color w:val="auto"/>
        </w:rPr>
      </w:pPr>
    </w:p>
    <w:p>
      <w:pPr>
        <w:ind w:right="300" w:firstLine="921"/>
        <w:spacing w:after="0" w:line="332" w:lineRule="auto"/>
        <w:tabs>
          <w:tab w:leader="none" w:pos="1152" w:val="left"/>
        </w:tabs>
        <w:numPr>
          <w:ilvl w:val="1"/>
          <w:numId w:val="13"/>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Section 409A Limit</w:t>
      </w:r>
      <w:r>
        <w:rPr>
          <w:rFonts w:ascii="Arial" w:cs="Arial" w:eastAsia="Arial" w:hAnsi="Arial"/>
          <w:sz w:val="16"/>
          <w:szCs w:val="16"/>
          <w:color w:val="auto"/>
        </w:rPr>
        <w:t>” will mean the lesser of two (2) times: (A) Employee’s annualized compensation based upon the annual rate of pay paid to Employee during the Company’s taxable year preceding the Company’s taxable year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0" w:name="page21"/>
    <w:bookmarkEnd w:id="2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termination of employment as determined under Treasury Regulation 1.409A-1(b)(9)(iii)(A)(1) and any Internal Revenue Service guidance issued with respect thereto; or (B) the maximum amount that may be taken into account under a qualified plan pursuant to Section 401(a)(17) of the Code for the year in which Employee’s employment is terminated.</w:t>
      </w:r>
    </w:p>
    <w:p>
      <w:pPr>
        <w:spacing w:after="0" w:line="140" w:lineRule="exact"/>
        <w:rPr>
          <w:sz w:val="20"/>
          <w:szCs w:val="20"/>
          <w:color w:val="auto"/>
        </w:rPr>
      </w:pPr>
    </w:p>
    <w:p>
      <w:pPr>
        <w:ind w:left="640" w:hanging="176"/>
        <w:spacing w:after="0"/>
        <w:tabs>
          <w:tab w:leader="none" w:pos="64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Employee</w:t>
      </w:r>
    </w:p>
    <w:p>
      <w:pPr>
        <w:spacing w:after="0" w:line="38" w:lineRule="exact"/>
        <w:rPr>
          <w:rFonts w:ascii="Arial" w:cs="Arial" w:eastAsia="Arial" w:hAnsi="Arial"/>
          <w:sz w:val="16"/>
          <w:szCs w:val="16"/>
          <w:color w:val="auto"/>
        </w:rPr>
      </w:pPr>
    </w:p>
    <w:p>
      <w:pPr>
        <w:ind w:right="140" w:firstLine="8"/>
        <w:spacing w:after="0" w:line="261" w:lineRule="auto"/>
        <w:tabs>
          <w:tab w:leader="none" w:pos="2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constitute “parachute payments” within the meaning of Section 280G of the Code, and (ii) would be subject to the excise tax imposed by Section 4999 of the Code (the “Excise Tax”), then Employee’s benefits under this Agreement shall be either</w:t>
      </w:r>
    </w:p>
    <w:p>
      <w:pPr>
        <w:spacing w:after="0" w:line="137" w:lineRule="exact"/>
        <w:rPr>
          <w:rFonts w:ascii="Arial" w:cs="Arial" w:eastAsia="Arial" w:hAnsi="Arial"/>
          <w:sz w:val="18"/>
          <w:szCs w:val="18"/>
          <w:color w:val="auto"/>
        </w:rPr>
      </w:pPr>
    </w:p>
    <w:p>
      <w:pPr>
        <w:ind w:left="1160" w:hanging="239"/>
        <w:spacing w:after="0"/>
        <w:tabs>
          <w:tab w:leader="none" w:pos="11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delivered as to such lesser extent which would result in no portion of such benefits being subject to the Excise Tax,</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whichever of the foregoing amounts, taking into account the applicable federal, state and local income taxes and the Excise Tax, results in the receipt by Employee on an after-tax basis, of the greatest amount of benefits, notwithstanding that all or some portion of such benefits may be taxable under Section 4999 of the Code.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the Company and Employee otherwise agree in writing, any determination required under this Section shall be made in writing by the Company’s independent public accountants (the “</w:t>
      </w:r>
      <w:r>
        <w:rPr>
          <w:rFonts w:ascii="Arial" w:cs="Arial" w:eastAsia="Arial" w:hAnsi="Arial"/>
          <w:sz w:val="16"/>
          <w:szCs w:val="16"/>
          <w:u w:val="single" w:color="auto"/>
          <w:color w:val="auto"/>
        </w:rPr>
        <w:t>Accountants</w:t>
      </w:r>
      <w:r>
        <w:rPr>
          <w:rFonts w:ascii="Arial" w:cs="Arial" w:eastAsia="Arial" w:hAnsi="Arial"/>
          <w:sz w:val="16"/>
          <w:szCs w:val="16"/>
          <w:color w:val="auto"/>
        </w:rPr>
        <w:t>”), whose determination shall be conclusive and binding upon Employee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 280G and 4999 of the Code. The Company and Employee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spacing w:after="0" w:line="120" w:lineRule="exact"/>
        <w:rPr>
          <w:sz w:val="20"/>
          <w:szCs w:val="20"/>
          <w:color w:val="auto"/>
        </w:rPr>
      </w:pPr>
    </w:p>
    <w:p>
      <w:pPr>
        <w:ind w:right="40" w:firstLine="464"/>
        <w:spacing w:after="0" w:line="256"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Employee shall continue to comply with the terms and conditions of the Confidentiality Agreement, and maintain the confidentiality of all of the Company’s confidential and proprietary information. Such information includes, but is not limited to, all customer lists, equipment, records, data, notes, reports, proposals, correspondence, specifications, drawings, blueprints, sketches, materials, or other documents or property belonging to the Company.</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40" w:firstLine="921"/>
        <w:spacing w:after="0" w:line="268" w:lineRule="auto"/>
        <w:tabs>
          <w:tab w:leader="none" w:pos="1152"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may withhold from all benefits payable under this Agreement all federal, state, city or other taxes as shall be required pursuant to any law or governmental regulation or ruling.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1" w:name="page22"/>
    <w:bookmarkEnd w:id="21"/>
    <w:p>
      <w:pPr>
        <w:ind w:left="-20" w:firstLine="921"/>
        <w:spacing w:after="0" w:line="254" w:lineRule="auto"/>
        <w:tabs>
          <w:tab w:leader="none" w:pos="114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 Agreement; Binding Effect</w:t>
      </w:r>
      <w:r>
        <w:rPr>
          <w:rFonts w:ascii="Arial" w:cs="Arial" w:eastAsia="Arial" w:hAnsi="Arial"/>
          <w:sz w:val="18"/>
          <w:szCs w:val="18"/>
          <w:color w:val="auto"/>
        </w:rPr>
        <w:t>. This Agreement and the Confidentiality Agreement set forth the entire understanding between the Parties as to the subject matter of this Agreement and supersede all prior agreements, commitments, representations, writings and discussions between them; and neither of the Parties shall be bound by any obligations, conditions, warranties or representations with respect to the subject matter of this Agreement, except as expressly provided herein or therein or as duly set forth on or subsequent to the date hereof in a written instrument signed by the proper and fully authorized representative of the party to be bound hereby. This Agreement is binding on Employee and on the Company and his/her and its successors and assigns (whether by assignment, by operation of law or otherwise).</w:t>
      </w:r>
    </w:p>
    <w:p>
      <w:pPr>
        <w:spacing w:after="0" w:line="144" w:lineRule="exact"/>
        <w:rPr>
          <w:rFonts w:ascii="Arial" w:cs="Arial" w:eastAsia="Arial" w:hAnsi="Arial"/>
          <w:sz w:val="18"/>
          <w:szCs w:val="18"/>
          <w:color w:val="auto"/>
        </w:rPr>
      </w:pPr>
    </w:p>
    <w:p>
      <w:pPr>
        <w:ind w:left="-20" w:right="20" w:firstLine="921"/>
        <w:spacing w:after="0" w:line="289" w:lineRule="auto"/>
        <w:tabs>
          <w:tab w:leader="none" w:pos="113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The Parties agree that, unless otherwise agreed to in a writing signed by the Employee and the Chairman of the Board of Directors of the Company, any and all disputes arising out of, or relating to, the terms of this Agreement, their interpretation, and any of the matters herein released, shall be subject to binding arbitration in Travis County, Texas before the American Arbitration Association under its National Rules for the Resolution of Employment Disputes. The Parties agree that the prevailing party in any arbitration shall be entitled to injunctive relief in any court of competent jurisdiction to enforce the arbitration award. The Parties agree that the prevailing party in any arbitration shall be awarded its reasonable attorney fees and costs. </w:t>
      </w:r>
      <w:r>
        <w:rPr>
          <w:rFonts w:ascii="Arial" w:cs="Arial" w:eastAsia="Arial" w:hAnsi="Arial"/>
          <w:sz w:val="16"/>
          <w:szCs w:val="16"/>
          <w:b w:val="1"/>
          <w:bCs w:val="1"/>
          <w:color w:val="auto"/>
        </w:rPr>
        <w:t>The Parties hereby agree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waive their right to have any dispute between them resolved in a court of law by a judge or jury. </w:t>
      </w:r>
      <w:r>
        <w:rPr>
          <w:rFonts w:ascii="Arial" w:cs="Arial" w:eastAsia="Arial" w:hAnsi="Arial"/>
          <w:sz w:val="16"/>
          <w:szCs w:val="16"/>
          <w:color w:val="auto"/>
        </w:rPr>
        <w:t>This section will not prevent either party from seeking</w:t>
      </w:r>
      <w:r>
        <w:rPr>
          <w:rFonts w:ascii="Arial" w:cs="Arial" w:eastAsia="Arial" w:hAnsi="Arial"/>
          <w:sz w:val="16"/>
          <w:szCs w:val="16"/>
          <w:b w:val="1"/>
          <w:bCs w:val="1"/>
          <w:color w:val="auto"/>
        </w:rPr>
        <w:t xml:space="preserve"> </w:t>
      </w:r>
      <w:r>
        <w:rPr>
          <w:rFonts w:ascii="Arial" w:cs="Arial" w:eastAsia="Arial" w:hAnsi="Arial"/>
          <w:sz w:val="16"/>
          <w:szCs w:val="16"/>
          <w:color w:val="auto"/>
        </w:rPr>
        <w:t>injunctive relief (or any other provisional remedy) from any court having jurisdiction over the Parties and the subject matter of their dispute relating to Employee’s obligations under this Agreement and the agreements incorporated herein by reference.</w:t>
      </w:r>
    </w:p>
    <w:p>
      <w:pPr>
        <w:spacing w:after="0" w:line="118" w:lineRule="exact"/>
        <w:rPr>
          <w:rFonts w:ascii="Arial" w:cs="Arial" w:eastAsia="Arial" w:hAnsi="Arial"/>
          <w:sz w:val="16"/>
          <w:szCs w:val="16"/>
          <w:color w:val="auto"/>
        </w:rPr>
      </w:pPr>
    </w:p>
    <w:p>
      <w:pPr>
        <w:ind w:left="-20" w:right="80" w:firstLine="921"/>
        <w:spacing w:after="0" w:line="256" w:lineRule="auto"/>
        <w:tabs>
          <w:tab w:leader="none" w:pos="114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construed and enforced in accordance with, the employment laws of Texas and the other laws of the State of Texas as they apply to contracts entered into and wholly to be performed therein by residents thereof. In addition, each party hereto irrevocably and unconditionally agrees that any suit, action or other legal proceeding arising out of this Agreement may be brought only in a state or federal court within Texas.</w:t>
      </w:r>
    </w:p>
    <w:p>
      <w:pPr>
        <w:spacing w:after="0" w:line="143" w:lineRule="exact"/>
        <w:rPr>
          <w:rFonts w:ascii="Arial" w:cs="Arial" w:eastAsia="Arial" w:hAnsi="Arial"/>
          <w:sz w:val="18"/>
          <w:szCs w:val="18"/>
          <w:color w:val="auto"/>
        </w:rPr>
      </w:pPr>
    </w:p>
    <w:p>
      <w:pPr>
        <w:ind w:left="-20" w:right="320" w:firstLine="921"/>
        <w:spacing w:after="0" w:line="268" w:lineRule="auto"/>
        <w:tabs>
          <w:tab w:leader="none" w:pos="113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of void, this Agreement shall continue in full force and effect without said provision.</w:t>
      </w:r>
    </w:p>
    <w:p>
      <w:pPr>
        <w:spacing w:after="0" w:line="131" w:lineRule="exact"/>
        <w:rPr>
          <w:rFonts w:ascii="Arial" w:cs="Arial" w:eastAsia="Arial" w:hAnsi="Arial"/>
          <w:sz w:val="18"/>
          <w:szCs w:val="18"/>
          <w:color w:val="auto"/>
        </w:rPr>
      </w:pPr>
    </w:p>
    <w:p>
      <w:pPr>
        <w:ind w:left="1120" w:hanging="219"/>
        <w:spacing w:after="0"/>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and subsection headings contained herein are for convenience only and shall not affect the construction hereof.</w:t>
      </w:r>
    </w:p>
    <w:p>
      <w:pPr>
        <w:spacing w:after="0" w:line="194" w:lineRule="exact"/>
        <w:rPr>
          <w:rFonts w:ascii="Arial" w:cs="Arial" w:eastAsia="Arial" w:hAnsi="Arial"/>
          <w:sz w:val="16"/>
          <w:szCs w:val="16"/>
          <w:color w:val="auto"/>
        </w:rPr>
      </w:pPr>
    </w:p>
    <w:p>
      <w:pPr>
        <w:ind w:left="-20" w:right="800" w:firstLine="921"/>
        <w:spacing w:after="0" w:line="268" w:lineRule="auto"/>
        <w:tabs>
          <w:tab w:leader="none" w:pos="114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to be an original, and all such counterparts shall constitute but one instrument.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on the dates set forth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86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Active Power, Inc.</w:t>
            </w:r>
          </w:p>
        </w:tc>
      </w:tr>
      <w:tr>
        <w:trPr>
          <w:trHeight w:val="434"/>
        </w:trPr>
        <w:tc>
          <w:tcPr>
            <w:tcW w:w="48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r>
        <w:trPr>
          <w:trHeight w:val="221"/>
        </w:trPr>
        <w:tc>
          <w:tcPr>
            <w:tcW w:w="4840" w:type="dxa"/>
            <w:vAlign w:val="bottom"/>
          </w:tcPr>
          <w:p>
            <w:pPr>
              <w:spacing w:after="0"/>
              <w:rPr>
                <w:sz w:val="20"/>
                <w:szCs w:val="20"/>
                <w:color w:val="auto"/>
              </w:rPr>
            </w:pPr>
            <w:r>
              <w:rPr>
                <w:rFonts w:ascii="Arial" w:cs="Arial" w:eastAsia="Arial" w:hAnsi="Arial"/>
                <w:sz w:val="18"/>
                <w:szCs w:val="18"/>
                <w:color w:val="auto"/>
              </w:rPr>
              <w:t>Signature</w:t>
            </w:r>
          </w:p>
        </w:tc>
        <w:tc>
          <w:tcPr>
            <w:tcW w:w="86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Pr>
          <w:p>
            <w:pPr>
              <w:ind w:left="180"/>
              <w:spacing w:after="0"/>
              <w:rPr>
                <w:sz w:val="20"/>
                <w:szCs w:val="20"/>
                <w:color w:val="auto"/>
              </w:rPr>
            </w:pPr>
            <w:r>
              <w:rPr>
                <w:rFonts w:ascii="Arial" w:cs="Arial" w:eastAsia="Arial" w:hAnsi="Arial"/>
                <w:sz w:val="18"/>
                <w:szCs w:val="18"/>
                <w:color w:val="auto"/>
              </w:rPr>
              <w:t>James Clishem, CEO</w:t>
            </w:r>
          </w:p>
        </w:tc>
      </w:tr>
    </w:tbl>
    <w:p>
      <w:pPr>
        <w:spacing w:after="0" w:line="23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663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(Print Name)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10795</wp:posOffset>
            </wp:positionV>
            <wp:extent cx="2667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00"/>
          </w:cols>
          <w:pgMar w:left="700" w:top="280" w:right="6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(Principal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Chief Financial Officer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June 30, 2008, as filed with the Securities and Exchange Commission on the date hereof (the “Report”), I, James A. Clishem, President and Chief Executive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July 28, 2008</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June 30, 2008 as filed with the Securities and Exchange Commission on the date hereof (the “Report”), I, John K. Penver, Vice President of Finance, Chief Financial Officer and Secretary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Vice President of Finance, Chief Financial Officer and Secretary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July 28,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2"/>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1"/>
    </w:lvl>
    <w:lvl w:ilvl="1">
      <w:lvlJc w:val="left"/>
      <w:lvlText w:val="(%2)"/>
      <w:numFmt w:val="lowerLetter"/>
      <w:start w:val="1"/>
    </w:lvl>
  </w:abstractNum>
  <w:abstractNum w:abstractNumId="9">
    <w:nsid w:val="41A7C4C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0">
    <w:nsid w:val="6B68079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11">
    <w:nsid w:val="4E6AFB66"/>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3"/>
    </w:lvl>
  </w:abstractNum>
  <w:abstractNum w:abstractNumId="12">
    <w:nsid w:val="25E45D32"/>
    <w:multiLevelType w:val="hybridMultilevel"/>
    <w:lvl w:ilvl="0">
      <w:lvlJc w:val="left"/>
      <w:lvlText w:val="%1."/>
      <w:numFmt w:val="decimal"/>
      <w:start w:val="6"/>
    </w:lvl>
    <w:lvl w:ilvl="1">
      <w:lvlJc w:val="left"/>
      <w:lvlText w:val="(%2)"/>
      <w:numFmt w:val="lowerLetter"/>
      <w:start w:val="1"/>
    </w:lvl>
  </w:abstractNum>
  <w:abstractNum w:abstractNumId="13">
    <w:nsid w:val="519B500D"/>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4">
    <w:nsid w:val="431BD7B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5">
    <w:nsid w:val="3F2DBA31"/>
    <w:multiLevelType w:val="hybridMultilevel"/>
    <w:lvl w:ilvl="0">
      <w:lvlJc w:val="left"/>
      <w:lvlText w:val="%1."/>
      <w:numFmt w:val="decimal"/>
      <w:start w:val="8"/>
    </w:lvl>
    <w:lvl w:ilvl="1">
      <w:lvlJc w:val="left"/>
      <w:lvlText w:val="(%2)"/>
      <w:numFmt w:val="lowerLetter"/>
      <w:start w:val="1"/>
    </w:lvl>
  </w:abstractNum>
  <w:abstractNum w:abstractNumId="16">
    <w:nsid w:val="7C83E458"/>
    <w:multiLevelType w:val="hybridMultilevel"/>
    <w:lvl w:ilvl="0">
      <w:lvlJc w:val="left"/>
      <w:lvlText w:val="(%1)"/>
      <w:numFmt w:val="lowerLetter"/>
      <w:start w:val="2"/>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2019-12-14T18:14:33Z</dcterms:created>
  <dcterms:modified xsi:type="dcterms:W3CDTF">2019-12-14T18:14:33Z</dcterms:modified>
</cp:coreProperties>
</file>