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59607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5960745"/>
                    </a:xfrm>
                    <a:prstGeom prst="rect">
                      <a:avLst/>
                    </a:prstGeom>
                    <a:noFill/>
                  </pic:spPr>
                </pic:pic>
              </a:graphicData>
            </a:graphic>
          </wp:anchor>
        </w:drawing>
      </w:r>
    </w:p>
    <w:p>
      <w:pPr>
        <w:spacing w:after="0" w:line="1244" w:lineRule="exact"/>
        <w:rPr>
          <w:sz w:val="24"/>
          <w:szCs w:val="24"/>
          <w:color w:val="auto"/>
        </w:rPr>
      </w:pPr>
    </w:p>
    <w:p>
      <w:pPr>
        <w:sectPr>
          <w:pgSz w:w="11900" w:h="16838" w:orient="portrait"/>
          <w:cols w:equalWidth="0" w:num="2">
            <w:col w:w="2320" w:space="260"/>
            <w:col w:w="8500"/>
          </w:cols>
          <w:pgMar w:left="460" w:top="217"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Poston Edwin A.</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P10, INC.</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4514 COLE AVENUE, SUITE 1600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P10,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PX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11/26/2024</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1177"/>
        <w:spacing w:after="0"/>
        <w:rPr>
          <w:sz w:val="20"/>
          <w:szCs w:val="20"/>
          <w:color w:val="auto"/>
        </w:rPr>
      </w:pPr>
      <w:r>
        <w:rPr>
          <w:rFonts w:ascii="Times New Roman" w:cs="Times New Roman" w:eastAsia="Times New Roman" w:hAnsi="Times New Roman"/>
          <w:sz w:val="17"/>
          <w:szCs w:val="17"/>
          <w:color w:val="0000FF"/>
        </w:rPr>
        <w:t>See remarks</w:t>
      </w:r>
    </w:p>
    <w:p>
      <w:pPr>
        <w:spacing w:after="0" w:line="411" w:lineRule="exact"/>
        <w:rPr>
          <w:sz w:val="24"/>
          <w:szCs w:val="24"/>
          <w:color w:val="auto"/>
        </w:rPr>
      </w:pPr>
    </w:p>
    <w:p>
      <w:pPr>
        <w:sectPr>
          <w:pgSz w:w="11900" w:h="16838" w:orient="portrait"/>
          <w:cols w:equalWidth="0" w:num="3">
            <w:col w:w="3180" w:space="720"/>
            <w:col w:w="3103" w:space="720"/>
            <w:col w:w="3357"/>
          </w:cols>
          <w:pgMar w:left="460" w:top="217" w:right="359" w:bottom="0" w:gutter="0" w:footer="0" w:header="0"/>
          <w:type w:val="continuous"/>
        </w:sectPr>
      </w:pPr>
    </w:p>
    <w:p>
      <w:pPr>
        <w:spacing w:after="0" w:line="206"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DALLAS</w:t>
            </w:r>
          </w:p>
        </w:tc>
        <w:tc>
          <w:tcPr>
            <w:tcW w:w="108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75205</w:t>
            </w:r>
          </w:p>
        </w:tc>
      </w:tr>
      <w:tr>
        <w:trPr>
          <w:trHeight w:val="149"/>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5"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67" w:lineRule="exact"/>
        <w:rPr>
          <w:sz w:val="24"/>
          <w:szCs w:val="24"/>
          <w:color w:val="auto"/>
        </w:rPr>
      </w:pPr>
    </w:p>
    <w:p>
      <w:pPr>
        <w:sectPr>
          <w:pgSz w:w="11900" w:h="16838" w:orient="portrait"/>
          <w:cols w:equalWidth="0" w:num="2">
            <w:col w:w="3740" w:space="160"/>
            <w:col w:w="718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660"/>
              <w:spacing w:after="0" w:line="128"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460" w:type="dxa"/>
            <w:vAlign w:val="bottom"/>
          </w:tcPr>
          <w:p>
            <w:pPr>
              <w:spacing w:after="0"/>
              <w:rPr>
                <w:sz w:val="11"/>
                <w:szCs w:val="11"/>
                <w:color w:val="auto"/>
              </w:rPr>
            </w:pPr>
          </w:p>
        </w:tc>
        <w:tc>
          <w:tcPr>
            <w:tcW w:w="9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20" w:type="dxa"/>
            <w:vAlign w:val="bottom"/>
            <w:gridSpan w:val="2"/>
          </w:tcPr>
          <w:p>
            <w:pPr>
              <w:ind w:left="660"/>
              <w:spacing w:after="0" w:line="129"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Beneficially</w:t>
            </w:r>
          </w:p>
        </w:tc>
        <w:tc>
          <w:tcPr>
            <w:tcW w:w="460" w:type="dxa"/>
            <w:vAlign w:val="bottom"/>
          </w:tcPr>
          <w:p>
            <w:pPr>
              <w:spacing w:after="0"/>
              <w:rPr>
                <w:sz w:val="11"/>
                <w:szCs w:val="11"/>
                <w:color w:val="auto"/>
              </w:rPr>
            </w:pPr>
          </w:p>
        </w:tc>
        <w:tc>
          <w:tcPr>
            <w:tcW w:w="9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4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0" w:type="dxa"/>
            <w:vAlign w:val="bottom"/>
            <w:gridSpan w:val="4"/>
            <w:vMerge w:val="restart"/>
          </w:tcPr>
          <w:p>
            <w:pPr>
              <w:ind w:left="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4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0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By</w:t>
            </w: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20" w:type="dxa"/>
            <w:vAlign w:val="bottom"/>
            <w:gridSpan w:val="2"/>
            <w:vMerge w:val="restart"/>
          </w:tcPr>
          <w:p>
            <w:pPr>
              <w:ind w:left="760"/>
              <w:spacing w:after="0"/>
              <w:rPr>
                <w:sz w:val="20"/>
                <w:szCs w:val="20"/>
                <w:color w:val="auto"/>
              </w:rPr>
            </w:pPr>
            <w:r>
              <w:rPr>
                <w:rFonts w:ascii="Times New Roman" w:cs="Times New Roman" w:eastAsia="Times New Roman" w:hAnsi="Times New Roman"/>
                <w:sz w:val="17"/>
                <w:szCs w:val="17"/>
                <w:color w:val="0000FF"/>
              </w:rPr>
              <w:t>11/26/2024</w:t>
            </w: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C</w:t>
            </w:r>
          </w:p>
        </w:tc>
        <w:tc>
          <w:tcPr>
            <w:tcW w:w="70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20,724</w:t>
            </w:r>
          </w:p>
        </w:tc>
        <w:tc>
          <w:tcPr>
            <w:tcW w:w="6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(1)(2)</w:t>
            </w:r>
          </w:p>
        </w:tc>
        <w:tc>
          <w:tcPr>
            <w:tcW w:w="40" w:type="dxa"/>
            <w:vAlign w:val="bottom"/>
          </w:tcPr>
          <w:p>
            <w:pPr>
              <w:spacing w:after="0"/>
              <w:rPr>
                <w:sz w:val="17"/>
                <w:szCs w:val="17"/>
                <w:color w:val="auto"/>
              </w:rPr>
            </w:pPr>
          </w:p>
        </w:tc>
        <w:tc>
          <w:tcPr>
            <w:tcW w:w="1180" w:type="dxa"/>
            <w:vAlign w:val="bottom"/>
            <w:gridSpan w:val="2"/>
            <w:vMerge w:val="restart"/>
          </w:tcPr>
          <w:p>
            <w:pPr>
              <w:jc w:val="right"/>
              <w:ind w:right="321"/>
              <w:spacing w:after="0"/>
              <w:rPr>
                <w:sz w:val="20"/>
                <w:szCs w:val="20"/>
                <w:color w:val="auto"/>
              </w:rPr>
            </w:pPr>
            <w:r>
              <w:rPr>
                <w:rFonts w:ascii="Times New Roman" w:cs="Times New Roman" w:eastAsia="Times New Roman" w:hAnsi="Times New Roman"/>
                <w:sz w:val="17"/>
                <w:szCs w:val="17"/>
                <w:color w:val="0000FF"/>
              </w:rPr>
              <w:t>20,724</w:t>
            </w:r>
          </w:p>
        </w:tc>
        <w:tc>
          <w:tcPr>
            <w:tcW w:w="300" w:type="dxa"/>
            <w:vAlign w:val="bottom"/>
          </w:tcPr>
          <w:p>
            <w:pPr>
              <w:spacing w:after="0"/>
              <w:rPr>
                <w:sz w:val="17"/>
                <w:szCs w:val="17"/>
                <w:color w:val="auto"/>
              </w:rPr>
            </w:pPr>
          </w:p>
        </w:tc>
        <w:tc>
          <w:tcPr>
            <w:tcW w:w="600" w:type="dxa"/>
            <w:vAlign w:val="bottom"/>
            <w:vMerge w:val="restart"/>
          </w:tcPr>
          <w:p>
            <w:pPr>
              <w:ind w:left="20"/>
              <w:spacing w:after="0" w:line="374" w:lineRule="exact"/>
              <w:rPr>
                <w:sz w:val="20"/>
                <w:szCs w:val="20"/>
                <w:color w:val="auto"/>
              </w:rPr>
            </w:pPr>
            <w:r>
              <w:rPr>
                <w:rFonts w:ascii="Times New Roman" w:cs="Times New Roman" w:eastAsia="Times New Roman" w:hAnsi="Times New Roman"/>
                <w:sz w:val="33"/>
                <w:szCs w:val="33"/>
                <w:color w:val="0000FF"/>
                <w:vertAlign w:val="subscript"/>
              </w:rPr>
              <w:t>I</w:t>
            </w:r>
            <w:r>
              <w:rPr>
                <w:rFonts w:ascii="Times New Roman" w:cs="Times New Roman" w:eastAsia="Times New Roman" w:hAnsi="Times New Roman"/>
                <w:sz w:val="11"/>
                <w:szCs w:val="11"/>
                <w:color w:val="008000"/>
              </w:rPr>
              <w:t>(3)</w:t>
            </w:r>
          </w:p>
        </w:tc>
        <w:tc>
          <w:tcPr>
            <w:tcW w:w="100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TrueBridge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7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000" w:type="dxa"/>
            <w:vAlign w:val="bottom"/>
            <w:gridSpan w:val="4"/>
            <w:vMerge w:val="restart"/>
          </w:tcPr>
          <w:p>
            <w:pPr>
              <w:ind w:left="40"/>
              <w:spacing w:after="0"/>
              <w:rPr>
                <w:sz w:val="20"/>
                <w:szCs w:val="20"/>
                <w:color w:val="auto"/>
              </w:rPr>
            </w:pPr>
            <w:r>
              <w:rPr>
                <w:rFonts w:ascii="Times New Roman" w:cs="Times New Roman" w:eastAsia="Times New Roman" w:hAnsi="Times New Roman"/>
                <w:sz w:val="17"/>
                <w:szCs w:val="17"/>
                <w:color w:val="0000FF"/>
              </w:rPr>
              <w:t>Ascent</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LLC</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By</w:t>
            </w: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20" w:type="dxa"/>
            <w:vAlign w:val="bottom"/>
            <w:gridSpan w:val="2"/>
            <w:vMerge w:val="restart"/>
          </w:tcPr>
          <w:p>
            <w:pPr>
              <w:ind w:left="760"/>
              <w:spacing w:after="0"/>
              <w:rPr>
                <w:sz w:val="20"/>
                <w:szCs w:val="20"/>
                <w:color w:val="auto"/>
              </w:rPr>
            </w:pPr>
            <w:r>
              <w:rPr>
                <w:rFonts w:ascii="Times New Roman" w:cs="Times New Roman" w:eastAsia="Times New Roman" w:hAnsi="Times New Roman"/>
                <w:sz w:val="17"/>
                <w:szCs w:val="17"/>
                <w:color w:val="0000FF"/>
              </w:rPr>
              <w:t>11/26/2024</w:t>
            </w: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20,724</w:t>
            </w:r>
          </w:p>
        </w:tc>
        <w:tc>
          <w:tcPr>
            <w:tcW w:w="6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600" w:type="dxa"/>
            <w:vAlign w:val="bottom"/>
            <w:vMerge w:val="restart"/>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13.89</w:t>
            </w:r>
          </w:p>
        </w:tc>
        <w:tc>
          <w:tcPr>
            <w:tcW w:w="40" w:type="dxa"/>
            <w:vAlign w:val="bottom"/>
          </w:tcPr>
          <w:p>
            <w:pPr>
              <w:spacing w:after="0"/>
              <w:rPr>
                <w:sz w:val="17"/>
                <w:szCs w:val="17"/>
                <w:color w:val="auto"/>
              </w:rPr>
            </w:pPr>
          </w:p>
        </w:tc>
        <w:tc>
          <w:tcPr>
            <w:tcW w:w="720" w:type="dxa"/>
            <w:vAlign w:val="bottom"/>
            <w:vMerge w:val="restart"/>
          </w:tcPr>
          <w:p>
            <w:pPr>
              <w:jc w:val="right"/>
              <w:ind w:right="59"/>
              <w:spacing w:after="0"/>
              <w:rPr>
                <w:sz w:val="20"/>
                <w:szCs w:val="20"/>
                <w:color w:val="auto"/>
              </w:rPr>
            </w:pPr>
            <w:r>
              <w:rPr>
                <w:rFonts w:ascii="Times New Roman" w:cs="Times New Roman" w:eastAsia="Times New Roman" w:hAnsi="Times New Roman"/>
                <w:sz w:val="17"/>
                <w:szCs w:val="17"/>
                <w:color w:val="0000FF"/>
              </w:rPr>
              <w:t>0</w:t>
            </w: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vMerge w:val="restart"/>
          </w:tcPr>
          <w:p>
            <w:pPr>
              <w:ind w:left="20"/>
              <w:spacing w:after="0" w:line="374" w:lineRule="exact"/>
              <w:rPr>
                <w:sz w:val="20"/>
                <w:szCs w:val="20"/>
                <w:color w:val="auto"/>
              </w:rPr>
            </w:pPr>
            <w:r>
              <w:rPr>
                <w:rFonts w:ascii="Times New Roman" w:cs="Times New Roman" w:eastAsia="Times New Roman" w:hAnsi="Times New Roman"/>
                <w:sz w:val="33"/>
                <w:szCs w:val="33"/>
                <w:color w:val="0000FF"/>
                <w:vertAlign w:val="subscript"/>
              </w:rPr>
              <w:t>I</w:t>
            </w:r>
            <w:r>
              <w:rPr>
                <w:rFonts w:ascii="Times New Roman" w:cs="Times New Roman" w:eastAsia="Times New Roman" w:hAnsi="Times New Roman"/>
                <w:sz w:val="11"/>
                <w:szCs w:val="11"/>
                <w:color w:val="008000"/>
              </w:rPr>
              <w:t>(3)</w:t>
            </w:r>
          </w:p>
        </w:tc>
        <w:tc>
          <w:tcPr>
            <w:tcW w:w="100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TrueBridge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7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000" w:type="dxa"/>
            <w:vAlign w:val="bottom"/>
            <w:gridSpan w:val="4"/>
            <w:vMerge w:val="restart"/>
          </w:tcPr>
          <w:p>
            <w:pPr>
              <w:ind w:left="40"/>
              <w:spacing w:after="0"/>
              <w:rPr>
                <w:sz w:val="20"/>
                <w:szCs w:val="20"/>
                <w:color w:val="auto"/>
              </w:rPr>
            </w:pPr>
            <w:r>
              <w:rPr>
                <w:rFonts w:ascii="Times New Roman" w:cs="Times New Roman" w:eastAsia="Times New Roman" w:hAnsi="Times New Roman"/>
                <w:sz w:val="17"/>
                <w:szCs w:val="17"/>
                <w:color w:val="0000FF"/>
              </w:rPr>
              <w:t>Ascent</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LLC</w:t>
            </w: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5440" w:type="dxa"/>
            <w:vAlign w:val="bottom"/>
            <w:tcBorders>
              <w:bottom w:val="single" w:sz="8" w:color="2C2C2C"/>
            </w:tcBorders>
            <w:gridSpan w:val="8"/>
          </w:tcPr>
          <w:p>
            <w:pPr>
              <w:spacing w:after="0"/>
              <w:rPr>
                <w:sz w:val="8"/>
                <w:szCs w:val="8"/>
                <w:color w:val="auto"/>
              </w:rPr>
            </w:pPr>
          </w:p>
        </w:tc>
        <w:tc>
          <w:tcPr>
            <w:tcW w:w="760" w:type="dxa"/>
            <w:vAlign w:val="bottom"/>
            <w:tcBorders>
              <w:bottom w:val="single" w:sz="8" w:color="2C2C2C"/>
            </w:tcBorders>
            <w:gridSpan w:val="2"/>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80" w:type="dxa"/>
            <w:vAlign w:val="bottom"/>
            <w:gridSpan w:val="9"/>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gridSpan w:val="2"/>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7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8. Price of</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9. Number of</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4"/>
                <w:szCs w:val="14"/>
                <w:color w:val="auto"/>
              </w:rPr>
            </w:pP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180"/>
              <w:spacing w:after="0" w:line="129"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3"/>
          </w:tcPr>
          <w:p>
            <w:pPr>
              <w:ind w:left="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12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20" w:type="dxa"/>
            <w:vAlign w:val="bottom"/>
            <w:tcBorders>
              <w:right w:val="single" w:sz="8" w:color="2C2C2C"/>
            </w:tcBorders>
            <w:gridSpan w:val="3"/>
          </w:tcPr>
          <w:p>
            <w:pPr>
              <w:ind w:left="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(Instr. 5)</w:t>
            </w: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180"/>
              <w:spacing w:after="0" w:line="129" w:lineRule="exact"/>
              <w:rPr>
                <w:sz w:val="20"/>
                <w:szCs w:val="20"/>
                <w:color w:val="auto"/>
              </w:rPr>
            </w:pPr>
            <w:r>
              <w:rPr>
                <w:rFonts w:ascii="Arial" w:cs="Arial" w:eastAsia="Arial" w:hAnsi="Arial"/>
                <w:sz w:val="12"/>
                <w:szCs w:val="12"/>
                <w:b w:val="1"/>
                <w:bCs w:val="1"/>
                <w:color w:val="auto"/>
              </w:rPr>
              <w:t>Direct (D)</w:t>
            </w:r>
          </w:p>
        </w:tc>
        <w:tc>
          <w:tcPr>
            <w:tcW w:w="720" w:type="dxa"/>
            <w:vAlign w:val="bottom"/>
            <w:tcBorders>
              <w:right w:val="single" w:sz="8" w:color="2C2C2C"/>
            </w:tcBorders>
            <w:gridSpan w:val="3"/>
          </w:tcPr>
          <w:p>
            <w:pPr>
              <w:ind w:left="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4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80" w:type="dxa"/>
            <w:vAlign w:val="bottom"/>
            <w:gridSpan w:val="2"/>
          </w:tcPr>
          <w:p>
            <w:pPr>
              <w:ind w:left="180"/>
              <w:spacing w:after="0" w:line="129"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3"/>
          </w:tcPr>
          <w:p>
            <w:pPr>
              <w:ind w:left="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180"/>
              <w:spacing w:after="0" w:line="129"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60" w:type="dxa"/>
            <w:vAlign w:val="bottom"/>
          </w:tcPr>
          <w:p>
            <w:pPr>
              <w:ind w:left="20"/>
              <w:spacing w:after="0"/>
              <w:rPr>
                <w:sz w:val="20"/>
                <w:szCs w:val="20"/>
                <w:color w:val="auto"/>
              </w:rPr>
            </w:pPr>
            <w:r>
              <w:rPr>
                <w:rFonts w:ascii="Arial" w:cs="Arial" w:eastAsia="Arial" w:hAnsi="Arial"/>
                <w:sz w:val="12"/>
                <w:szCs w:val="12"/>
                <w:b w:val="1"/>
                <w:bCs w:val="1"/>
                <w:color w:val="auto"/>
                <w:w w:val="88"/>
              </w:rPr>
              <w:t>(Instr. 4)</w:t>
            </w: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6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Class A</w:t>
            </w: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Borders>
              <w:right w:val="single" w:sz="8" w:color="2C2C2C"/>
            </w:tcBorders>
            <w:gridSpan w:val="3"/>
          </w:tcPr>
          <w:p>
            <w:pPr>
              <w:ind w:left="40"/>
              <w:spacing w:after="0"/>
              <w:rPr>
                <w:sz w:val="20"/>
                <w:szCs w:val="20"/>
                <w:color w:val="auto"/>
              </w:rPr>
            </w:pPr>
            <w:r>
              <w:rPr>
                <w:rFonts w:ascii="Times New Roman" w:cs="Times New Roman" w:eastAsia="Times New Roman" w:hAnsi="Times New Roman"/>
                <w:sz w:val="13"/>
                <w:szCs w:val="13"/>
                <w:color w:val="0000FF"/>
              </w:rPr>
              <w:t>By</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8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(1)(2)</w:t>
            </w: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(1)(2)</w:t>
            </w:r>
          </w:p>
        </w:tc>
        <w:tc>
          <w:tcPr>
            <w:tcW w:w="700" w:type="dxa"/>
            <w:vAlign w:val="bottom"/>
            <w:vMerge w:val="restart"/>
          </w:tcPr>
          <w:p>
            <w:pPr>
              <w:ind w:left="220"/>
              <w:spacing w:after="0"/>
              <w:rPr>
                <w:sz w:val="20"/>
                <w:szCs w:val="20"/>
                <w:color w:val="auto"/>
              </w:rPr>
            </w:pPr>
            <w:r>
              <w:rPr>
                <w:rFonts w:ascii="Times New Roman" w:cs="Times New Roman" w:eastAsia="Times New Roman" w:hAnsi="Times New Roman"/>
                <w:sz w:val="11"/>
                <w:szCs w:val="11"/>
                <w:color w:val="008000"/>
              </w:rPr>
              <w:t>(1)(2)</w:t>
            </w:r>
          </w:p>
        </w:tc>
        <w:tc>
          <w:tcPr>
            <w:tcW w:w="600" w:type="dxa"/>
            <w:vAlign w:val="bottom"/>
            <w:vMerge w:val="continue"/>
          </w:tcPr>
          <w:p>
            <w:pPr>
              <w:spacing w:after="0"/>
              <w:rPr>
                <w:sz w:val="5"/>
                <w:szCs w:val="5"/>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20,724</w:t>
            </w:r>
          </w:p>
        </w:tc>
        <w:tc>
          <w:tcPr>
            <w:tcW w:w="40" w:type="dxa"/>
            <w:vAlign w:val="bottom"/>
          </w:tcPr>
          <w:p>
            <w:pPr>
              <w:spacing w:after="0"/>
              <w:rPr>
                <w:sz w:val="5"/>
                <w:szCs w:val="5"/>
                <w:color w:val="auto"/>
              </w:rPr>
            </w:pPr>
          </w:p>
        </w:tc>
        <w:tc>
          <w:tcPr>
            <w:tcW w:w="720" w:type="dxa"/>
            <w:vAlign w:val="bottom"/>
            <w:vMerge w:val="restart"/>
          </w:tcPr>
          <w:p>
            <w:pPr>
              <w:ind w:left="200"/>
              <w:spacing w:after="0"/>
              <w:rPr>
                <w:sz w:val="20"/>
                <w:szCs w:val="20"/>
                <w:color w:val="auto"/>
              </w:rPr>
            </w:pPr>
            <w:r>
              <w:rPr>
                <w:rFonts w:ascii="Times New Roman" w:cs="Times New Roman" w:eastAsia="Times New Roman" w:hAnsi="Times New Roman"/>
                <w:sz w:val="11"/>
                <w:szCs w:val="11"/>
                <w:color w:val="008000"/>
              </w:rPr>
              <w:t>(1)(2)</w:t>
            </w:r>
          </w:p>
        </w:tc>
        <w:tc>
          <w:tcPr>
            <w:tcW w:w="4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vMerge w:val="restart"/>
          </w:tcPr>
          <w:p>
            <w:pPr>
              <w:ind w:left="400"/>
              <w:spacing w:after="0" w:line="207" w:lineRule="exact"/>
              <w:rPr>
                <w:sz w:val="20"/>
                <w:szCs w:val="20"/>
                <w:color w:val="auto"/>
              </w:rPr>
            </w:pPr>
            <w:r>
              <w:rPr>
                <w:rFonts w:ascii="Times New Roman" w:cs="Times New Roman" w:eastAsia="Times New Roman" w:hAnsi="Times New Roman"/>
                <w:sz w:val="23"/>
                <w:szCs w:val="23"/>
                <w:color w:val="0000FF"/>
                <w:vertAlign w:val="subscript"/>
              </w:rPr>
              <w:t>I</w:t>
            </w:r>
            <w:r>
              <w:rPr>
                <w:rFonts w:ascii="Times New Roman" w:cs="Times New Roman" w:eastAsia="Times New Roman" w:hAnsi="Times New Roman"/>
                <w:sz w:val="10"/>
                <w:szCs w:val="10"/>
                <w:color w:val="008000"/>
              </w:rPr>
              <w:t>(3)</w:t>
            </w:r>
          </w:p>
        </w:tc>
        <w:tc>
          <w:tcPr>
            <w:tcW w:w="280" w:type="dxa"/>
            <w:vAlign w:val="bottom"/>
          </w:tcPr>
          <w:p>
            <w:pPr>
              <w:spacing w:after="0"/>
              <w:rPr>
                <w:sz w:val="5"/>
                <w:szCs w:val="5"/>
                <w:color w:val="auto"/>
              </w:rPr>
            </w:pPr>
          </w:p>
        </w:tc>
        <w:tc>
          <w:tcPr>
            <w:tcW w:w="720" w:type="dxa"/>
            <w:vAlign w:val="bottom"/>
            <w:tcBorders>
              <w:right w:val="single" w:sz="8" w:color="2C2C2C"/>
            </w:tcBorders>
            <w:gridSpan w:val="3"/>
            <w:vMerge w:val="restart"/>
          </w:tcPr>
          <w:p>
            <w:pPr>
              <w:ind w:left="40"/>
              <w:spacing w:after="0" w:line="142" w:lineRule="exact"/>
              <w:rPr>
                <w:sz w:val="20"/>
                <w:szCs w:val="20"/>
                <w:color w:val="auto"/>
              </w:rPr>
            </w:pPr>
            <w:r>
              <w:rPr>
                <w:rFonts w:ascii="Times New Roman" w:cs="Times New Roman" w:eastAsia="Times New Roman" w:hAnsi="Times New Roman"/>
                <w:sz w:val="13"/>
                <w:szCs w:val="13"/>
                <w:color w:val="0000FF"/>
              </w:rPr>
              <w:t>TrueBridge</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780" w:type="dxa"/>
            <w:vAlign w:val="bottom"/>
            <w:vMerge w:val="continue"/>
          </w:tcPr>
          <w:p>
            <w:pPr>
              <w:spacing w:after="0"/>
              <w:rPr>
                <w:sz w:val="6"/>
                <w:szCs w:val="6"/>
                <w:color w:val="auto"/>
              </w:rPr>
            </w:pPr>
          </w:p>
        </w:tc>
        <w:tc>
          <w:tcPr>
            <w:tcW w:w="1040" w:type="dxa"/>
            <w:vAlign w:val="bottom"/>
            <w:vMerge w:val="restart"/>
          </w:tcPr>
          <w:p>
            <w:pPr>
              <w:jc w:val="right"/>
              <w:ind w:right="140"/>
              <w:spacing w:after="0" w:line="142" w:lineRule="exact"/>
              <w:rPr>
                <w:sz w:val="20"/>
                <w:szCs w:val="20"/>
                <w:color w:val="auto"/>
              </w:rPr>
            </w:pPr>
            <w:r>
              <w:rPr>
                <w:rFonts w:ascii="Times New Roman" w:cs="Times New Roman" w:eastAsia="Times New Roman" w:hAnsi="Times New Roman"/>
                <w:sz w:val="13"/>
                <w:szCs w:val="13"/>
                <w:color w:val="0000FF"/>
              </w:rPr>
              <w:t>11/26/2024</w:t>
            </w:r>
          </w:p>
        </w:tc>
        <w:tc>
          <w:tcPr>
            <w:tcW w:w="1140" w:type="dxa"/>
            <w:vAlign w:val="bottom"/>
          </w:tcPr>
          <w:p>
            <w:pPr>
              <w:spacing w:after="0"/>
              <w:rPr>
                <w:sz w:val="6"/>
                <w:szCs w:val="6"/>
                <w:color w:val="auto"/>
              </w:rPr>
            </w:pPr>
          </w:p>
        </w:tc>
        <w:tc>
          <w:tcPr>
            <w:tcW w:w="58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C</w:t>
            </w:r>
          </w:p>
        </w:tc>
        <w:tc>
          <w:tcPr>
            <w:tcW w:w="220" w:type="dxa"/>
            <w:vAlign w:val="bottom"/>
          </w:tcPr>
          <w:p>
            <w:pPr>
              <w:spacing w:after="0"/>
              <w:rPr>
                <w:sz w:val="6"/>
                <w:szCs w:val="6"/>
                <w:color w:val="auto"/>
              </w:rPr>
            </w:pPr>
          </w:p>
        </w:tc>
        <w:tc>
          <w:tcPr>
            <w:tcW w:w="820" w:type="dxa"/>
            <w:vAlign w:val="bottom"/>
            <w:vMerge w:val="restart"/>
          </w:tcPr>
          <w:p>
            <w:pPr>
              <w:ind w:left="380"/>
              <w:spacing w:after="0" w:line="142" w:lineRule="exact"/>
              <w:rPr>
                <w:sz w:val="20"/>
                <w:szCs w:val="20"/>
                <w:color w:val="auto"/>
              </w:rPr>
            </w:pPr>
            <w:r>
              <w:rPr>
                <w:rFonts w:ascii="Times New Roman" w:cs="Times New Roman" w:eastAsia="Times New Roman" w:hAnsi="Times New Roman"/>
                <w:sz w:val="13"/>
                <w:szCs w:val="13"/>
                <w:color w:val="0000FF"/>
              </w:rPr>
              <w:t>20,724</w:t>
            </w:r>
          </w:p>
        </w:tc>
        <w:tc>
          <w:tcPr>
            <w:tcW w:w="7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60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760" w:type="dxa"/>
            <w:vAlign w:val="bottom"/>
            <w:gridSpan w:val="2"/>
            <w:vMerge w:val="restart"/>
          </w:tcPr>
          <w:p>
            <w:pPr>
              <w:ind w:left="200"/>
              <w:spacing w:after="0" w:line="142" w:lineRule="exact"/>
              <w:rPr>
                <w:sz w:val="20"/>
                <w:szCs w:val="20"/>
                <w:color w:val="auto"/>
              </w:rPr>
            </w:pPr>
            <w:r>
              <w:rPr>
                <w:rFonts w:ascii="Times New Roman" w:cs="Times New Roman" w:eastAsia="Times New Roman" w:hAnsi="Times New Roman"/>
                <w:sz w:val="13"/>
                <w:szCs w:val="13"/>
                <w:color w:val="0000FF"/>
              </w:rPr>
              <w:t>134,451</w:t>
            </w: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72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20" w:type="dxa"/>
            <w:vAlign w:val="bottom"/>
            <w:tcBorders>
              <w:right w:val="single" w:sz="8" w:color="2C2C2C"/>
            </w:tcBorders>
            <w:gridSpan w:val="3"/>
            <w:vMerge w:val="restart"/>
          </w:tcPr>
          <w:p>
            <w:pPr>
              <w:ind w:left="40"/>
              <w:spacing w:after="0" w:line="142" w:lineRule="exact"/>
              <w:rPr>
                <w:sz w:val="20"/>
                <w:szCs w:val="20"/>
                <w:color w:val="auto"/>
              </w:rPr>
            </w:pPr>
            <w:r>
              <w:rPr>
                <w:rFonts w:ascii="Times New Roman" w:cs="Times New Roman" w:eastAsia="Times New Roman" w:hAnsi="Times New Roman"/>
                <w:sz w:val="13"/>
                <w:szCs w:val="13"/>
                <w:color w:val="0000FF"/>
              </w:rPr>
              <w:t>Ascent</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60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2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4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720" w:type="dxa"/>
            <w:vAlign w:val="bottom"/>
            <w:tcBorders>
              <w:right w:val="single" w:sz="8" w:color="2C2C2C"/>
            </w:tcBorders>
            <w:gridSpan w:val="3"/>
            <w:vMerge w:val="restart"/>
          </w:tcPr>
          <w:p>
            <w:pPr>
              <w:ind w:left="40"/>
              <w:spacing w:after="0"/>
              <w:rPr>
                <w:sz w:val="20"/>
                <w:szCs w:val="20"/>
                <w:color w:val="auto"/>
              </w:rPr>
            </w:pPr>
            <w:r>
              <w:rPr>
                <w:rFonts w:ascii="Times New Roman" w:cs="Times New Roman" w:eastAsia="Times New Roman" w:hAnsi="Times New Roman"/>
                <w:sz w:val="13"/>
                <w:szCs w:val="13"/>
                <w:color w:val="0000FF"/>
              </w:rPr>
              <w:t>LLC</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2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-2102485</wp:posOffset>
            </wp:positionV>
            <wp:extent cx="29210" cy="21075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0756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16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Holders of Class B Common Stock may elect to convert such shares on a one-for-one basis into Class A Common Stock at any time. After a Sunset (as defined below) becomes effective, each share of Class B Common Stock will automatically convert into Class A Common Stock.</w:t>
      </w:r>
    </w:p>
    <w:p>
      <w:pPr>
        <w:spacing w:after="0" w:line="16" w:lineRule="exact"/>
        <w:rPr>
          <w:rFonts w:ascii="Times New Roman" w:cs="Times New Roman" w:eastAsia="Times New Roman" w:hAnsi="Times New Roman"/>
          <w:sz w:val="13"/>
          <w:szCs w:val="13"/>
          <w:color w:val="008000"/>
        </w:rPr>
      </w:pPr>
    </w:p>
    <w:p>
      <w:pPr>
        <w:ind w:left="40" w:right="200" w:firstLine="2"/>
        <w:spacing w:after="0" w:line="23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2: A "Sunset" is triggered by any of the earlier of the following: (i) the Sunset Holders (as defined in the amended and restated certificate of incorporation of the Issuer (the "Charter")) cease to maintain direct or indirect beneficial ownership of 10% of the outstanding shares of Class A Common Stock (determined assuming all outstanding shares of Class B Common Stock have been converted into Class A Common Stock), (ii) the Sunset Holders collectively cease to maintain direct or indirect beneficial ownership of at least 25% of the aggregate voting power of the outstanding shares of Common Stock, and (iii) upon the tenth anniversary of the effective date of the Charter. On November 26, 2024, TrueBridge Ascent LLC (i) converted 20,724 shares of Class B Common Stock into an equivalent number of shares of Class A Common Stock, and (ii) sold the corresponding 20,724 shares of Class A Common Stock.</w:t>
      </w:r>
    </w:p>
    <w:p>
      <w:pPr>
        <w:spacing w:after="0" w:line="26" w:lineRule="exact"/>
        <w:rPr>
          <w:rFonts w:ascii="Times New Roman" w:cs="Times New Roman" w:eastAsia="Times New Roman" w:hAnsi="Times New Roman"/>
          <w:sz w:val="13"/>
          <w:szCs w:val="13"/>
          <w:color w:val="008000"/>
        </w:rPr>
      </w:pPr>
    </w:p>
    <w:p>
      <w:pPr>
        <w:jc w:val="both"/>
        <w:ind w:left="40" w:right="16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securities of the Issuer owned directly by TrueBridge Ascent LLC. Mr. Poston, as manager of TrueBridge Ascent LLC, may be deemed to be deemed to beneficially own the securities of the Issuer owned directly by TrueBridge Ascent LLC. The Reporting Person disclaims beneficial ownership of the securities of the Issuer reported herein, except to the extent of his pecuniary interest therein, and the filing of this Form 4 shall not be construed as an admission that the Reporting Person is a beneficial owner of the securities of the Issuer reported herein.</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4"/>
          <w:szCs w:val="24"/>
          <w:color w:val="auto"/>
        </w:rPr>
      </w:pPr>
    </w:p>
    <w:p>
      <w:pPr>
        <w:ind w:left="40" w:right="160"/>
        <w:spacing w:after="0" w:line="242" w:lineRule="auto"/>
        <w:rPr>
          <w:sz w:val="20"/>
          <w:szCs w:val="20"/>
          <w:color w:val="auto"/>
        </w:rPr>
      </w:pPr>
      <w:r>
        <w:rPr>
          <w:rFonts w:ascii="Times New Roman" w:cs="Times New Roman" w:eastAsia="Times New Roman" w:hAnsi="Times New Roman"/>
          <w:sz w:val="13"/>
          <w:szCs w:val="13"/>
          <w:color w:val="008000"/>
        </w:rPr>
        <w:t>Member of 10% Owner Group. This Form 4 is being filed on behalf of Edwin A. Poston (the "Reporting Person"). The Reporting Person may be deemed to be a member of a Section 13(d) group that collectively beneficially owns more than 10% of the Issuer's Common Stock. The securities reported herein do not include securities of the Issuer held by any other group member other than those securities held directly or indirectly by the Reporting Person. In addition, the Reporting Person serves as a director on the board of directors of the Issuer.</w:t>
      </w:r>
    </w:p>
    <w:p>
      <w:pPr>
        <w:spacing w:after="0" w:line="3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Edwin A. Poston</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11/29/2024</w:t>
            </w:r>
          </w:p>
        </w:tc>
      </w:tr>
      <w:tr>
        <w:trPr>
          <w:trHeight w:val="20"/>
        </w:trPr>
        <w:tc>
          <w:tcPr>
            <w:tcW w:w="134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7"/>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88753" TargetMode="External"/><Relationship Id="rId14" Type="http://schemas.openxmlformats.org/officeDocument/2006/relationships/hyperlink" Target="http://www.sec.gov/cgi-bin/browse-edgar?action=getcompany&amp;CIK=00018419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2024-11-29T18:13:43Z</dcterms:created>
  <dcterms:modified xsi:type="dcterms:W3CDTF">2024-11-29T18:13:43Z</dcterms:modified>
</cp:coreProperties>
</file>