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42555"/>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09/18/2025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rPr>
              <w:t>91,949</w:t>
            </w: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12.16</w:t>
            </w:r>
            <w:r>
              <w:rPr>
                <w:rFonts w:ascii="Times New Roman" w:cs="Times New Roman" w:eastAsia="Times New Roman" w:hAnsi="Times New Roman"/>
                <w:sz w:val="22"/>
                <w:szCs w:val="22"/>
                <w:color w:val="008000"/>
                <w:w w:val="92"/>
                <w:vertAlign w:val="superscript"/>
              </w:rPr>
              <w:t>(1)</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2,439,558</w:t>
            </w:r>
          </w:p>
        </w:tc>
        <w:tc>
          <w:tcPr>
            <w:tcW w:w="240" w:type="dxa"/>
            <w:vAlign w:val="bottom"/>
          </w:tcPr>
          <w:p>
            <w:pPr>
              <w:spacing w:after="0"/>
              <w:rPr>
                <w:sz w:val="18"/>
                <w:szCs w:val="18"/>
                <w:color w:val="auto"/>
              </w:rPr>
            </w:pPr>
          </w:p>
        </w:tc>
        <w:tc>
          <w:tcPr>
            <w:tcW w:w="600" w:type="dxa"/>
            <w:vAlign w:val="bottom"/>
          </w:tcPr>
          <w:p>
            <w:pPr>
              <w:jc w:val="center"/>
              <w:ind w:right="244"/>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09/19/2025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rPr>
              <w:t>7,344</w:t>
            </w: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12.082</w:t>
            </w:r>
            <w:r>
              <w:rPr>
                <w:rFonts w:ascii="Times New Roman" w:cs="Times New Roman" w:eastAsia="Times New Roman" w:hAnsi="Times New Roman"/>
                <w:sz w:val="22"/>
                <w:szCs w:val="22"/>
                <w:color w:val="008000"/>
                <w:w w:val="95"/>
                <w:vertAlign w:val="superscript"/>
              </w:rPr>
              <w:t>(3)</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2,432,214</w:t>
            </w:r>
          </w:p>
        </w:tc>
        <w:tc>
          <w:tcPr>
            <w:tcW w:w="240" w:type="dxa"/>
            <w:vAlign w:val="bottom"/>
          </w:tcPr>
          <w:p>
            <w:pPr>
              <w:spacing w:after="0"/>
              <w:rPr>
                <w:sz w:val="18"/>
                <w:szCs w:val="18"/>
                <w:color w:val="auto"/>
              </w:rPr>
            </w:pPr>
          </w:p>
        </w:tc>
        <w:tc>
          <w:tcPr>
            <w:tcW w:w="600" w:type="dxa"/>
            <w:vAlign w:val="bottom"/>
          </w:tcPr>
          <w:p>
            <w:pPr>
              <w:jc w:val="center"/>
              <w:ind w:right="244"/>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09/22/2025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ind w:right="9"/>
              <w:spacing w:after="0"/>
              <w:rPr>
                <w:sz w:val="20"/>
                <w:szCs w:val="20"/>
                <w:color w:val="auto"/>
              </w:rPr>
            </w:pPr>
            <w:r>
              <w:rPr>
                <w:rFonts w:ascii="Times New Roman" w:cs="Times New Roman" w:eastAsia="Times New Roman" w:hAnsi="Times New Roman"/>
                <w:sz w:val="17"/>
                <w:szCs w:val="17"/>
                <w:color w:val="0000FF"/>
              </w:rPr>
              <w:t>8,683</w:t>
            </w:r>
          </w:p>
        </w:tc>
        <w:tc>
          <w:tcPr>
            <w:tcW w:w="46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11.87</w:t>
            </w: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2,423,531</w:t>
            </w:r>
          </w:p>
        </w:tc>
        <w:tc>
          <w:tcPr>
            <w:tcW w:w="240" w:type="dxa"/>
            <w:vAlign w:val="bottom"/>
          </w:tcPr>
          <w:p>
            <w:pPr>
              <w:spacing w:after="0"/>
              <w:rPr>
                <w:sz w:val="18"/>
                <w:szCs w:val="18"/>
                <w:color w:val="auto"/>
              </w:rPr>
            </w:pPr>
          </w:p>
        </w:tc>
        <w:tc>
          <w:tcPr>
            <w:tcW w:w="600" w:type="dxa"/>
            <w:vAlign w:val="bottom"/>
          </w:tcPr>
          <w:p>
            <w:pPr>
              <w:jc w:val="center"/>
              <w:ind w:right="244"/>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60,502</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44"/>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521,664</w:t>
            </w:r>
          </w:p>
        </w:tc>
        <w:tc>
          <w:tcPr>
            <w:tcW w:w="240" w:type="dxa"/>
            <w:vAlign w:val="bottom"/>
          </w:tcPr>
          <w:p>
            <w:pPr>
              <w:spacing w:after="0"/>
              <w:rPr>
                <w:sz w:val="18"/>
                <w:szCs w:val="18"/>
                <w:color w:val="auto"/>
              </w:rPr>
            </w:pPr>
          </w:p>
        </w:tc>
        <w:tc>
          <w:tcPr>
            <w:tcW w:w="600" w:type="dxa"/>
            <w:vAlign w:val="bottom"/>
            <w:vMerge w:val="restart"/>
          </w:tcPr>
          <w:p>
            <w:pPr>
              <w:jc w:val="center"/>
              <w:ind w:right="244"/>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(5)</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price for the shares, which were sold in multiple transactions at prices that ranged from $12.13 to $12.19. Upon request, the Reporting Person will provide information regarding the number of shares sold at each price within the range to the Issuer, any security holder, or the SEC staff.</w:t>
      </w:r>
    </w:p>
    <w:p>
      <w:pPr>
        <w:spacing w:after="0" w:line="7"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price for the shares, which were sold in multiple transactions at prices that ranged from $12.08 to $12.10. Upon request, the Reporting Person will provide</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information regarding the number of shares sold at each price within the range to the Issuer, any security holder, or the SEC staff.</w:t>
      </w:r>
    </w:p>
    <w:p>
      <w:pPr>
        <w:spacing w:after="0" w:line="50" w:lineRule="exact"/>
        <w:rPr>
          <w:sz w:val="20"/>
          <w:szCs w:val="20"/>
          <w:color w:val="auto"/>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the Reporting Person.</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ectPr>
          <w:pgSz w:w="11900" w:h="16838" w:orient="portrait"/>
          <w:cols w:equalWidth="0" w:num="1">
            <w:col w:w="10880"/>
          </w:cols>
          <w:pgMar w:left="500" w:top="127" w:right="51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44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214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2025-09-22T16:45:41Z</dcterms:created>
  <dcterms:modified xsi:type="dcterms:W3CDTF">2025-09-22T16:45:41Z</dcterms:modified>
</cp:coreProperties>
</file>