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ACTIVE POWER INC COM</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00504W100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Page 2 of 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00504W100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2,610,372</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2,610,372</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2,610,372 (ownership disclaimed pursuant to Section 13d-4 of the 1934 Act)</w:t>
      </w:r>
    </w:p>
    <w:p>
      <w:pPr>
        <w:spacing w:after="0" w:line="218"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6.12%</w:t>
      </w:r>
    </w:p>
    <w:p>
      <w:pPr>
        <w:spacing w:after="0" w:line="207" w:lineRule="exact"/>
        <w:rPr>
          <w:sz w:val="20"/>
          <w:szCs w:val="20"/>
          <w:color w:val="auto"/>
        </w:rPr>
      </w:pPr>
    </w:p>
    <w:p>
      <w:pPr>
        <w:ind w:right="715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3 of 8</w:t>
      </w:r>
    </w:p>
    <w:p>
      <w:pPr>
        <w:spacing w:after="0" w:line="207" w:lineRule="exact"/>
        <w:rPr>
          <w:sz w:val="20"/>
          <w:szCs w:val="20"/>
          <w:color w:val="auto"/>
        </w:rPr>
      </w:pPr>
    </w:p>
    <w:p>
      <w:pPr>
        <w:ind w:right="241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jc w:val="both"/>
        <w:ind w:left="640" w:right="7679"/>
        <w:spacing w:after="0" w:line="279" w:lineRule="auto"/>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3360" w:val="left"/>
        </w:tabs>
        <w:rPr>
          <w:sz w:val="20"/>
          <w:szCs w:val="20"/>
          <w:color w:val="auto"/>
        </w:rPr>
      </w:pPr>
      <w:r>
        <w:rPr>
          <w:rFonts w:ascii="Courier New" w:cs="Courier New" w:eastAsia="Courier New" w:hAnsi="Courier New"/>
          <w:sz w:val="18"/>
          <w:szCs w:val="18"/>
          <w:color w:val="auto"/>
        </w:rPr>
        <w:t>ACTIVE POWER INC COM</w:t>
      </w:r>
      <w:r>
        <w:rPr>
          <w:sz w:val="20"/>
          <w:szCs w:val="20"/>
          <w:color w:val="auto"/>
        </w:rPr>
        <w:tab/>
      </w:r>
      <w:r>
        <w:rPr>
          <w:rFonts w:ascii="Courier New" w:cs="Courier New" w:eastAsia="Courier New" w:hAnsi="Courier New"/>
          <w:sz w:val="16"/>
          <w:szCs w:val="16"/>
          <w:color w:val="auto"/>
        </w:rPr>
        <w:t>(the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2128 W. Braker Lane</w:t>
      </w:r>
    </w:p>
    <w:p>
      <w:pPr>
        <w:ind w:left="1060"/>
        <w:spacing w:after="0" w:line="238" w:lineRule="auto"/>
        <w:rPr>
          <w:sz w:val="20"/>
          <w:szCs w:val="20"/>
          <w:color w:val="auto"/>
        </w:rPr>
      </w:pPr>
      <w:r>
        <w:rPr>
          <w:rFonts w:ascii="Courier New" w:cs="Courier New" w:eastAsia="Courier New" w:hAnsi="Courier New"/>
          <w:sz w:val="18"/>
          <w:szCs w:val="18"/>
          <w:color w:val="auto"/>
        </w:rPr>
        <w:t>BK12</w:t>
      </w:r>
    </w:p>
    <w:p>
      <w:pPr>
        <w:ind w:left="1060"/>
        <w:spacing w:after="0"/>
        <w:rPr>
          <w:sz w:val="20"/>
          <w:szCs w:val="20"/>
          <w:color w:val="auto"/>
        </w:rPr>
      </w:pPr>
      <w:r>
        <w:rPr>
          <w:rFonts w:ascii="Courier New" w:cs="Courier New" w:eastAsia="Courier New" w:hAnsi="Courier New"/>
          <w:sz w:val="18"/>
          <w:szCs w:val="18"/>
          <w:color w:val="auto"/>
        </w:rPr>
        <w:t>Austin, TX 78758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Merrill Lynch &amp; Co., Inc.</w:t>
      </w:r>
    </w:p>
    <w:p>
      <w:pPr>
        <w:ind w:left="1060"/>
        <w:spacing w:after="0" w:line="237"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rPr>
          <w:sz w:val="20"/>
          <w:szCs w:val="20"/>
          <w:color w:val="auto"/>
        </w:rPr>
      </w:pPr>
      <w:r>
        <w:rPr>
          <w:rFonts w:ascii="Courier New" w:cs="Courier New" w:eastAsia="Courier New" w:hAnsi="Courier New"/>
          <w:sz w:val="18"/>
          <w:szCs w:val="18"/>
          <w:color w:val="auto"/>
        </w:rPr>
        <w:t>World Financial Center, North Tower</w:t>
      </w:r>
    </w:p>
    <w:p>
      <w:pPr>
        <w:spacing w:after="0" w:line="237" w:lineRule="auto"/>
        <w:rPr>
          <w:sz w:val="20"/>
          <w:szCs w:val="20"/>
          <w:color w:val="auto"/>
        </w:rPr>
      </w:pPr>
      <w:r>
        <w:rPr>
          <w:rFonts w:ascii="Courier New" w:cs="Courier New" w:eastAsia="Courier New" w:hAnsi="Courier New"/>
          <w:sz w:val="18"/>
          <w:szCs w:val="18"/>
          <w:color w:val="auto"/>
        </w:rPr>
        <w:t>250 Vesey Street</w:t>
      </w:r>
    </w:p>
    <w:p>
      <w:pPr>
        <w:spacing w:after="0" w:line="238" w:lineRule="auto"/>
        <w:rPr>
          <w:sz w:val="20"/>
          <w:szCs w:val="20"/>
          <w:color w:val="auto"/>
        </w:rPr>
      </w:pPr>
      <w:r>
        <w:rPr>
          <w:rFonts w:ascii="Courier New" w:cs="Courier New" w:eastAsia="Courier New" w:hAnsi="Courier New"/>
          <w:sz w:val="18"/>
          <w:szCs w:val="18"/>
          <w:color w:val="auto"/>
        </w:rPr>
        <w:t>New York, NY 10381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 CUSIP NUMBER:</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13d-2(c), check whether the person filing is a:</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4 of 8</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4"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in accordance with Rule 13d-1(b) (1) (ii) (E),</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w:t>
      </w:r>
    </w:p>
    <w:p>
      <w:pPr>
        <w:spacing w:after="0" w:line="207" w:lineRule="exact"/>
        <w:rPr>
          <w:sz w:val="20"/>
          <w:szCs w:val="20"/>
          <w:color w:val="auto"/>
        </w:rPr>
      </w:pPr>
    </w:p>
    <w:p>
      <w:pPr>
        <w:ind w:left="860" w:right="3159" w:hanging="852"/>
        <w:spacing w:after="0" w:line="235"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 (1) (ii) (J).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6939" w:hanging="532"/>
        <w:spacing w:after="0" w:line="536"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pages</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8 of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If this statment is being filed to report the fact that as of the date hereof the reporting person has ceased to be the beneficial owner of more</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5 of 8</w:t>
      </w:r>
    </w:p>
    <w:p>
      <w:pPr>
        <w:spacing w:after="0" w:line="201"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than five percent of the class of securities, check the following: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316"/>
        <w:spacing w:after="0" w:line="237" w:lineRule="auto"/>
        <w:rPr>
          <w:sz w:val="20"/>
          <w:szCs w:val="20"/>
          <w:color w:val="auto"/>
        </w:rPr>
      </w:pPr>
      <w:r>
        <w:rPr>
          <w:rFonts w:ascii="Courier New" w:cs="Courier New" w:eastAsia="Courier New" w:hAnsi="Courier New"/>
          <w:sz w:val="18"/>
          <w:szCs w:val="18"/>
          <w:color w:val="auto"/>
        </w:rPr>
        <w:t>Merrill Lynch &amp; Co., Inc. ("ML&amp;Co.") is a parent holding company. Merrill Lynch Investment Managers ("MLIM") is an operating division of ML&amp;Co.'s indirectly owned asset management subsidiaries. Certain of these subsidiaries hold certain shares of the security which is the subject of this report. (See Item 7).</w:t>
      </w:r>
    </w:p>
    <w:p>
      <w:pPr>
        <w:spacing w:after="0" w:line="209"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3" w:name="page4"/>
    <w:bookmarkEnd w:id="3"/>
    <w:p>
      <w:pPr>
        <w:ind w:right="2839" w:firstLine="421"/>
        <w:spacing w:after="0" w:line="273" w:lineRule="auto"/>
        <w:rPr>
          <w:sz w:val="20"/>
          <w:szCs w:val="20"/>
          <w:color w:val="auto"/>
        </w:rPr>
      </w:pPr>
      <w:r>
        <w:rPr>
          <w:rFonts w:ascii="Courier New" w:cs="Courier New" w:eastAsia="Courier New" w:hAnsi="Courier New"/>
          <w:sz w:val="16"/>
          <w:szCs w:val="16"/>
          <w:color w:val="auto"/>
        </w:rPr>
        <w:t>Merrill Lynch &amp; Co., Inc. ("ML&amp;Co.") is a parent holding company. Merrill Lynch Investment Managers ("MLIM") is an operating division of ML&amp;Co. consisting of ML&amp;Co.'s indirectly-owned asset management subsidiaries. The following asset management subsidiaries hold certain shares of the common stock, which is the subject of this 13G filing: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FUND ASSET MANAGEMENT, L.P.</w:t>
      </w:r>
    </w:p>
    <w:p>
      <w:pPr>
        <w:spacing w:after="0" w:line="238" w:lineRule="auto"/>
        <w:rPr>
          <w:sz w:val="20"/>
          <w:szCs w:val="20"/>
          <w:color w:val="auto"/>
        </w:rPr>
      </w:pPr>
      <w:r>
        <w:rPr>
          <w:rFonts w:ascii="Courier New" w:cs="Courier New" w:eastAsia="Courier New" w:hAnsi="Courier New"/>
          <w:sz w:val="18"/>
          <w:szCs w:val="18"/>
          <w:color w:val="auto"/>
        </w:rPr>
        <w:t>MERRILL LYNCH INVESTMENT MANAGERS LIMITED</w:t>
      </w:r>
    </w:p>
    <w:p>
      <w:pPr>
        <w:spacing w:after="0"/>
        <w:rPr>
          <w:sz w:val="20"/>
          <w:szCs w:val="20"/>
          <w:color w:val="auto"/>
        </w:rPr>
      </w:pPr>
      <w:r>
        <w:rPr>
          <w:rFonts w:ascii="Courier New" w:cs="Courier New" w:eastAsia="Courier New" w:hAnsi="Courier New"/>
          <w:sz w:val="18"/>
          <w:szCs w:val="18"/>
          <w:color w:val="auto"/>
        </w:rPr>
        <w:t>MERRILL LYNCH INVESTMENT MANAGERS, CO. LTD</w:t>
      </w:r>
    </w:p>
    <w:p>
      <w:pPr>
        <w:spacing w:after="0" w:line="237" w:lineRule="auto"/>
        <w:rPr>
          <w:sz w:val="20"/>
          <w:szCs w:val="20"/>
          <w:color w:val="auto"/>
        </w:rPr>
      </w:pPr>
      <w:r>
        <w:rPr>
          <w:rFonts w:ascii="Courier New" w:cs="Courier New" w:eastAsia="Courier New" w:hAnsi="Courier New"/>
          <w:sz w:val="18"/>
          <w:szCs w:val="18"/>
          <w:color w:val="auto"/>
        </w:rPr>
        <w:t>MERRILL LYNCH INVESTMENT MANAGERS, 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6 of 8</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19, 2005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Jeffrey Hiller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Jeffrey Hiller</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*Signed pursuant to a power of attorney, dated September 14, 2004, included as Exhibit B to this Schedule 13G filed with the Securities and Exchange Commission by Merrill Lynch &amp; Co, Inc. (on behalf of Merrill Lynch Investment Managers ("MLIM")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7 of 8</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Merrill Lynch Investment Managers("MLIM")of ML&amp;Co. is comprised of the following legal entities: Merrill Lynch Investment Managers, L.P., ("MLIMLP") doing business as Merrill Lynch Investment Managers; Fund Asset Management, L.P. ("FAM") doing business as Fund Asset Management; Merrill Lynch Investment Managers, LLC ("MLIMLLC"); Merrill Lynch Asset Management U.K. Limited</w:t>
      </w:r>
    </w:p>
    <w:p>
      <w:pPr>
        <w:sectPr>
          <w:pgSz w:w="11900" w:h="16838" w:orient="portrait"/>
          <w:cols w:equalWidth="0" w:num="1">
            <w:col w:w="10219"/>
          </w:cols>
          <w:pgMar w:left="240" w:top="142" w:right="1440" w:bottom="0" w:gutter="0" w:footer="0" w:header="0"/>
        </w:sectPr>
      </w:pPr>
    </w:p>
    <w:bookmarkStart w:id="4" w:name="page5"/>
    <w:bookmarkEnd w:id="4"/>
    <w:p>
      <w:pPr>
        <w:ind w:right="2419"/>
        <w:spacing w:after="0" w:line="268" w:lineRule="auto"/>
        <w:rPr>
          <w:sz w:val="20"/>
          <w:szCs w:val="20"/>
          <w:color w:val="auto"/>
        </w:rPr>
      </w:pPr>
      <w:r>
        <w:rPr>
          <w:rFonts w:ascii="Courier New" w:cs="Courier New" w:eastAsia="Courier New" w:hAnsi="Courier New"/>
          <w:sz w:val="16"/>
          <w:szCs w:val="16"/>
          <w:color w:val="auto"/>
        </w:rPr>
        <w:t>("MLAM UK"); Merrill Lynch (Suisse) Investment Management S.A. (MLS); Merrill Lynch Investment Managers International Limited ("MLIMI"); Merrill Lynch Investment Managers Limited; Merrill Lynch Investment Managers (Asia Pacific)Limited; Merrill Lynch Investment Managers (Asia)Limited; Merrill Lynch Investment Managers Limited (Australia); Merrill Lynch Investment Managers (Isle of Man) Limited; Munich London Investment Management Limited; Munich London Investment Management (Jersey)</w:t>
      </w:r>
    </w:p>
    <w:p>
      <w:pPr>
        <w:spacing w:after="0" w:line="1"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Limited; Merrill Lynch Investment Managers Co. Ltd; DSP Merrill Lynch Fund Managers Ltd; Merrill Lynch Global Asset Management Limited; Merrill Lynch Fund Managers Limited; Merrill Lynch Fund Managers (Channel Islands)Limited; Merrill Lynch Investment Managers (Channel Islands)Limited; and Merrill Lynch Pensions Limited. Each of MLIMLP, FAM, MLAM UK, MLS and MLIMI is an investment</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adviser registered under Section 203 of the Investment Advisers Act of 1940, which acts as investment adviser to various investment companies registered under Section 8 of the Investment Company Act of 1940. Each other firm constituting part of MLIM is an investment adviser operating under the laws of a jurisdiction other than the United States. The investment advisers that comprise MLIM exercise voting and investment powers over portfolio securities independently from other direct and indirect subsidiaries of ML&amp;Co.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Merrill Lynch &amp; Co., Inc. (the "Corporation"), a corporation duly organized under the laws of the State of Delaware, with its principal place of business at 4 World Financial Center, New York, New York, 10080, does hereby make, constitute and appoint Andrew J. Donohue, Jeffrey Hiller,</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Alice Pellegrino and Brad Lucido acting severally, each of whose address is Merrill Lynch Investment Managers, L.P., 800 Scudders Mill Road,</w:t>
      </w:r>
    </w:p>
    <w:p>
      <w:pPr>
        <w:spacing w:after="0" w:line="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Plainsboro, NJ, 08536,as it true and lawful attorneys-in-fact, for it and in its name, place and stead (i) to execute on behalf of the Corporation and cause to be filed and/or delivered, as required under Section 13(d) of the Securities Exchange Act of 1934 (the "Act") and the regulations thereunder, any number,</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appropriate, of original, copies, or electronic filings of the Securities and Exchange Commission Schedule 13D or Schedule 13G Beneficial Ownership Reports (together with any amendments and joint filing agreements under Rule</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asif the undersigned could do if personally present. This Power of Attorney shall remain in effect until revoked, in writing, by the undersigned.</w:t>
      </w:r>
    </w:p>
    <w:p>
      <w:pPr>
        <w:spacing w:after="0" w:line="212" w:lineRule="exact"/>
        <w:rPr>
          <w:sz w:val="20"/>
          <w:szCs w:val="20"/>
          <w:color w:val="auto"/>
        </w:rPr>
      </w:pPr>
    </w:p>
    <w:p>
      <w:pPr>
        <w:ind w:right="31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14th day of September,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/s/ Rosemary T. Berkery</w:t>
      </w:r>
    </w:p>
    <w:p>
      <w:pPr>
        <w:spacing w:after="0" w:line="4"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Name: Rosemary T. Berkery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Executive Vice President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6"/>
    </w:lvl>
  </w:abstractNum>
  <w:abstractNum w:abstractNumId="4">
    <w:nsid w:val="7545E146"/>
    <w:multiLevelType w:val="hybridMultilevel"/>
    <w:lvl w:ilvl="0">
      <w:lvlJc w:val="left"/>
      <w:lvlText w:val="%1."/>
      <w:numFmt w:val="decimal"/>
      <w:start w:val="10"/>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decimal"/>
      <w:start w:val="14"/>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7"/>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2019-12-14T16:14:54Z</dcterms:created>
  <dcterms:modified xsi:type="dcterms:W3CDTF">2019-12-14T16:14:54Z</dcterms:modified>
</cp:coreProperties>
</file>