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9"/>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9"/>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gridSpan w:val="7"/>
          </w:tcPr>
          <w:p>
            <w:pPr>
              <w:ind w:left="160"/>
              <w:spacing w:after="0"/>
              <w:rPr>
                <w:sz w:val="20"/>
                <w:szCs w:val="20"/>
                <w:color w:val="auto"/>
              </w:rPr>
            </w:pPr>
            <w:r>
              <w:rPr>
                <w:rFonts w:ascii="Arial" w:cs="Arial" w:eastAsia="Arial" w:hAnsi="Arial"/>
                <w:sz w:val="18"/>
                <w:szCs w:val="18"/>
                <w:color w:val="0000FF"/>
              </w:rPr>
              <w:t>06/17/2016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gridSpan w:val="2"/>
          </w:tcPr>
          <w:p>
            <w:pPr>
              <w:spacing w:after="0"/>
              <w:rPr>
                <w:sz w:val="12"/>
                <w:szCs w:val="12"/>
                <w:color w:val="auto"/>
              </w:rPr>
            </w:pPr>
          </w:p>
        </w:tc>
        <w:tc>
          <w:tcPr>
            <w:tcW w:w="1040" w:type="dxa"/>
            <w:vAlign w:val="bottom"/>
            <w:tcBorders>
              <w:bottom w:val="single" w:sz="8" w:color="2C2C2C"/>
            </w:tcBorders>
            <w:gridSpan w:val="3"/>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gridSpan w:val="3"/>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78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line="20" w:lineRule="exact"/>
              <w:rPr>
                <w:sz w:val="1"/>
                <w:szCs w:val="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10"/>
            <w:vMerge w:val="continue"/>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54" w:lineRule="exact"/>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gridSpan w:val="2"/>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5"/>
                <w:szCs w:val="15"/>
                <w:color w:val="auto"/>
              </w:rPr>
            </w:pPr>
          </w:p>
        </w:tc>
        <w:tc>
          <w:tcPr>
            <w:tcW w:w="1420" w:type="dxa"/>
            <w:vAlign w:val="bottom"/>
            <w:gridSpan w:val="5"/>
          </w:tcPr>
          <w:p>
            <w:pPr>
              <w:ind w:left="2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5"/>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2,633,833</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06/17/2016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7"/>
              </w:rPr>
              <w:t>25,148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0.49</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2,608,685</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06/20/2016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8"/>
              </w:rPr>
              <w:t>3,662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0.49</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2,605,023</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06/21/2016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7"/>
              </w:rPr>
              <w:t>95,000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0.47</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2,510,023</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300" w:type="dxa"/>
            <w:vAlign w:val="bottom"/>
            <w:gridSpan w:val="16"/>
          </w:tcPr>
          <w:p>
            <w:pPr>
              <w:jc w:val="center"/>
              <w:ind w:right="7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2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PACIFIC VIEW ASSET MANAGEMENT (UK)</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LLP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5TH FLOOR 6 ST. ANDREW STREET</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LONDON</w:t>
      </w:r>
      <w:r>
        <w:rPr>
          <w:sz w:val="20"/>
          <w:szCs w:val="20"/>
          <w:color w:val="auto"/>
        </w:rPr>
        <w:tab/>
      </w:r>
      <w:r>
        <w:rPr>
          <w:rFonts w:ascii="Arial" w:cs="Arial" w:eastAsia="Arial" w:hAnsi="Arial"/>
          <w:sz w:val="18"/>
          <w:szCs w:val="18"/>
          <w:color w:val="0000FF"/>
        </w:rPr>
        <w:t>X0</w:t>
      </w:r>
      <w:r>
        <w:rPr>
          <w:sz w:val="20"/>
          <w:szCs w:val="20"/>
          <w:color w:val="auto"/>
        </w:rPr>
        <w:tab/>
      </w:r>
      <w:r>
        <w:rPr>
          <w:rFonts w:ascii="Arial" w:cs="Arial" w:eastAsia="Arial" w:hAnsi="Arial"/>
          <w:sz w:val="16"/>
          <w:szCs w:val="16"/>
          <w:color w:val="0000FF"/>
        </w:rPr>
        <w:t>EC4A3A3</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0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PVAM HOLDINGS LTD.</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0000FF"/>
                <w:w w:val="92"/>
              </w:rPr>
              <w:t>5TH FLOOR 6 ST. ANDREW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LONDON</w:t>
            </w:r>
          </w:p>
        </w:tc>
        <w:tc>
          <w:tcPr>
            <w:tcW w:w="1800" w:type="dxa"/>
            <w:vAlign w:val="bottom"/>
            <w:gridSpan w:val="2"/>
          </w:tcPr>
          <w:p>
            <w:pPr>
              <w:ind w:left="360"/>
              <w:spacing w:after="0"/>
              <w:rPr>
                <w:sz w:val="20"/>
                <w:szCs w:val="20"/>
                <w:color w:val="auto"/>
              </w:rPr>
            </w:pPr>
            <w:r>
              <w:rPr>
                <w:rFonts w:ascii="Arial" w:cs="Arial" w:eastAsia="Arial" w:hAnsi="Arial"/>
                <w:sz w:val="18"/>
                <w:szCs w:val="18"/>
                <w:color w:val="0000FF"/>
              </w:rPr>
              <w:t>X0</w:t>
            </w:r>
          </w:p>
        </w:tc>
        <w:tc>
          <w:tcPr>
            <w:tcW w:w="1540" w:type="dxa"/>
            <w:vAlign w:val="bottom"/>
            <w:gridSpan w:val="2"/>
          </w:tcPr>
          <w:p>
            <w:pPr>
              <w:ind w:left="20"/>
              <w:spacing w:after="0"/>
              <w:rPr>
                <w:sz w:val="20"/>
                <w:szCs w:val="20"/>
                <w:color w:val="auto"/>
              </w:rPr>
            </w:pPr>
            <w:r>
              <w:rPr>
                <w:rFonts w:ascii="Arial" w:cs="Arial" w:eastAsia="Arial" w:hAnsi="Arial"/>
                <w:sz w:val="18"/>
                <w:szCs w:val="18"/>
                <w:color w:val="0000FF"/>
              </w:rPr>
              <w:t>3C4A 3AE</w:t>
            </w:r>
          </w:p>
        </w:tc>
      </w:tr>
      <w:tr>
        <w:trPr>
          <w:trHeight w:val="158"/>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967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9678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PVAM Perlus Microcap Fund L.P. (formerly The Perlus Microcap Fund L.P.) is the beneficial owner of the shares of common stock of Key Technology, Inc. (the "Shares"). The Shares are held in the account of PVAM Perlus Microcap Fund L.P., the investments of which are managed by Pacific View Asset Management (UK) LLP (formerly Perlus Investment Management LLP) of which PVAM Holdings Ltd. ("PVAM") is the managing member. Pacific View Asset Management (UK) LLP ("PVAM LLP") exercises voting power and shares dispositive control over the Shares and PVAM shares indirect voting and dispositive power over the Shares. Each of PVAM and PVAM LLP disclaims beneficial ownership of the Shares, except to the extent of any pecuniary interest therein. This report shall not be deemed an admission that either PVAM or PVAM LLP is a beneficial owner of the Shares for purposes of Section 16 of the Securities Exchange Act of 1934, as amended, or any other purpose.</w:t>
      </w:r>
    </w:p>
    <w:p>
      <w:pPr>
        <w:spacing w:after="0" w:line="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Brian K. Endres</w:t>
            </w:r>
          </w:p>
        </w:tc>
        <w:tc>
          <w:tcPr>
            <w:tcW w:w="76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06/21/2016</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31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472885"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601068" TargetMode="External"/><Relationship Id="rId15" Type="http://schemas.openxmlformats.org/officeDocument/2006/relationships/hyperlink" Target="http://www.sec.gov/cgi-bin/browse-edgar?action=getcompany&amp;CIK=00016200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2019-12-06T18:19:18Z</dcterms:created>
  <dcterms:modified xsi:type="dcterms:W3CDTF">2019-12-06T18:19:18Z</dcterms:modified>
</cp:coreProperties>
</file>