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65551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55510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Poston Edwin A.</w:t>
              </w:r>
            </w:hyperlink>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Ridgepost Capital,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RPC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920" w:type="dxa"/>
            <w:vAlign w:val="bottom"/>
            <w:tcBorders>
              <w:top w:val="single" w:sz="8" w:color="0000EE"/>
            </w:tcBorders>
          </w:tcPr>
          <w:p>
            <w:pPr>
              <w:spacing w:after="0"/>
              <w:rPr>
                <w:sz w:val="5"/>
                <w:szCs w:val="5"/>
                <w:color w:val="auto"/>
              </w:rPr>
            </w:pPr>
          </w:p>
        </w:tc>
        <w:tc>
          <w:tcPr>
            <w:tcW w:w="18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0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02/14/2026</w:t>
            </w:r>
          </w:p>
        </w:tc>
        <w:tc>
          <w:tcPr>
            <w:tcW w:w="1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RIDGEPOST CAPITAL, INC.</w:t>
            </w:r>
          </w:p>
        </w:tc>
        <w:tc>
          <w:tcPr>
            <w:tcW w:w="1200" w:type="dxa"/>
            <w:vAlign w:val="bottom"/>
          </w:tcPr>
          <w:p>
            <w:pPr>
              <w:spacing w:after="0"/>
              <w:rPr>
                <w:sz w:val="10"/>
                <w:szCs w:val="10"/>
                <w:color w:val="auto"/>
              </w:rPr>
            </w:pPr>
          </w:p>
        </w:tc>
        <w:tc>
          <w:tcPr>
            <w:tcW w:w="2080" w:type="dxa"/>
            <w:vAlign w:val="bottom"/>
            <w:gridSpan w:val="3"/>
            <w:vMerge w:val="continue"/>
          </w:tcPr>
          <w:p>
            <w:pPr>
              <w:spacing w:after="0"/>
              <w:rPr>
                <w:sz w:val="10"/>
                <w:szCs w:val="10"/>
                <w:color w:val="auto"/>
              </w:rPr>
            </w:pPr>
          </w:p>
        </w:tc>
        <w:tc>
          <w:tcPr>
            <w:tcW w:w="18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2699 HOWELL STREET, SUITE 1000</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92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75204</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460" w:type="dxa"/>
            <w:vAlign w:val="bottom"/>
          </w:tcPr>
          <w:p>
            <w:pPr>
              <w:spacing w:after="0"/>
              <w:rPr>
                <w:sz w:val="11"/>
                <w:szCs w:val="11"/>
                <w:color w:val="auto"/>
              </w:rPr>
            </w:pPr>
          </w:p>
        </w:tc>
        <w:tc>
          <w:tcPr>
            <w:tcW w:w="174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460" w:type="dxa"/>
            <w:vAlign w:val="bottom"/>
          </w:tcPr>
          <w:p>
            <w:pPr>
              <w:spacing w:after="0"/>
              <w:rPr>
                <w:sz w:val="11"/>
                <w:szCs w:val="11"/>
                <w:color w:val="auto"/>
              </w:rPr>
            </w:pPr>
          </w:p>
        </w:tc>
        <w:tc>
          <w:tcPr>
            <w:tcW w:w="1740" w:type="dxa"/>
            <w:vAlign w:val="bottom"/>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4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4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jc w:val="right"/>
              <w:ind w:right="184"/>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4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4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4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tcPr>
          <w:p>
            <w:pPr>
              <w:jc w:val="right"/>
              <w:ind w:right="91"/>
              <w:spacing w:after="0"/>
              <w:rPr>
                <w:sz w:val="20"/>
                <w:szCs w:val="20"/>
                <w:color w:val="auto"/>
              </w:rPr>
            </w:pPr>
            <w:r>
              <w:rPr>
                <w:rFonts w:ascii="Times New Roman" w:cs="Times New Roman" w:eastAsia="Times New Roman" w:hAnsi="Times New Roman"/>
                <w:sz w:val="17"/>
                <w:szCs w:val="17"/>
                <w:color w:val="0000FF"/>
              </w:rPr>
              <w:t>02/14/2026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9,120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184"/>
              <w:spacing w:after="0"/>
              <w:rPr>
                <w:sz w:val="20"/>
                <w:szCs w:val="20"/>
                <w:color w:val="auto"/>
              </w:rPr>
            </w:pPr>
            <w:r>
              <w:rPr>
                <w:rFonts w:ascii="Times New Roman" w:cs="Times New Roman" w:eastAsia="Times New Roman" w:hAnsi="Times New Roman"/>
                <w:sz w:val="11"/>
                <w:szCs w:val="11"/>
                <w:color w:val="008000"/>
              </w:rPr>
              <w:t>(1)</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69,622</w:t>
            </w:r>
          </w:p>
        </w:tc>
        <w:tc>
          <w:tcPr>
            <w:tcW w:w="920" w:type="dxa"/>
            <w:vAlign w:val="bottom"/>
            <w:tcBorders>
              <w:bottom w:val="single" w:sz="8" w:color="2C2C2C"/>
            </w:tcBorders>
          </w:tcPr>
          <w:p>
            <w:pPr>
              <w:jc w:val="center"/>
              <w:spacing w:after="0" w:line="312" w:lineRule="exact"/>
              <w:rPr>
                <w:sz w:val="20"/>
                <w:szCs w:val="20"/>
                <w:color w:val="auto"/>
              </w:rPr>
            </w:pPr>
            <w:r>
              <w:rPr>
                <w:rFonts w:ascii="Times New Roman" w:cs="Times New Roman" w:eastAsia="Times New Roman" w:hAnsi="Times New Roman"/>
                <w:sz w:val="33"/>
                <w:szCs w:val="33"/>
                <w:color w:val="0000FF"/>
                <w:w w:val="90"/>
                <w:vertAlign w:val="subscript"/>
              </w:rPr>
              <w:t>D</w:t>
            </w:r>
            <w:r>
              <w:rPr>
                <w:rFonts w:ascii="Times New Roman" w:cs="Times New Roman" w:eastAsia="Times New Roman" w:hAnsi="Times New Roman"/>
                <w:sz w:val="11"/>
                <w:szCs w:val="11"/>
                <w:color w:val="008000"/>
                <w:w w:val="90"/>
              </w:rPr>
              <w:t>(2)</w:t>
            </w:r>
          </w:p>
        </w:tc>
        <w:tc>
          <w:tcPr>
            <w:tcW w:w="9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tcPr>
          <w:p>
            <w:pPr>
              <w:jc w:val="right"/>
              <w:ind w:right="91"/>
              <w:spacing w:after="0"/>
              <w:rPr>
                <w:sz w:val="20"/>
                <w:szCs w:val="20"/>
                <w:color w:val="auto"/>
              </w:rPr>
            </w:pPr>
            <w:r>
              <w:rPr>
                <w:rFonts w:ascii="Times New Roman" w:cs="Times New Roman" w:eastAsia="Times New Roman" w:hAnsi="Times New Roman"/>
                <w:sz w:val="17"/>
                <w:szCs w:val="17"/>
                <w:color w:val="0000FF"/>
              </w:rPr>
              <w:t>02/14/2026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3,974</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right"/>
              <w:ind w:right="184"/>
              <w:spacing w:after="0"/>
              <w:rPr>
                <w:sz w:val="20"/>
                <w:szCs w:val="20"/>
                <w:color w:val="auto"/>
              </w:rPr>
            </w:pPr>
            <w:r>
              <w:rPr>
                <w:rFonts w:ascii="Times New Roman" w:cs="Times New Roman" w:eastAsia="Times New Roman" w:hAnsi="Times New Roman"/>
                <w:sz w:val="11"/>
                <w:szCs w:val="11"/>
                <w:color w:val="008000"/>
              </w:rPr>
              <w:t>(1)</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65,648</w:t>
            </w:r>
          </w:p>
        </w:tc>
        <w:tc>
          <w:tcPr>
            <w:tcW w:w="920" w:type="dxa"/>
            <w:vAlign w:val="bottom"/>
            <w:tcBorders>
              <w:bottom w:val="single" w:sz="8" w:color="2C2C2C"/>
            </w:tcBorders>
          </w:tcPr>
          <w:p>
            <w:pPr>
              <w:jc w:val="center"/>
              <w:spacing w:after="0" w:line="312" w:lineRule="exact"/>
              <w:rPr>
                <w:sz w:val="20"/>
                <w:szCs w:val="20"/>
                <w:color w:val="auto"/>
              </w:rPr>
            </w:pPr>
            <w:r>
              <w:rPr>
                <w:rFonts w:ascii="Times New Roman" w:cs="Times New Roman" w:eastAsia="Times New Roman" w:hAnsi="Times New Roman"/>
                <w:sz w:val="33"/>
                <w:szCs w:val="33"/>
                <w:color w:val="0000FF"/>
                <w:w w:val="90"/>
                <w:vertAlign w:val="subscript"/>
              </w:rPr>
              <w:t>D</w:t>
            </w:r>
            <w:r>
              <w:rPr>
                <w:rFonts w:ascii="Times New Roman" w:cs="Times New Roman" w:eastAsia="Times New Roman" w:hAnsi="Times New Roman"/>
                <w:sz w:val="11"/>
                <w:szCs w:val="11"/>
                <w:color w:val="008000"/>
                <w:w w:val="90"/>
              </w:rPr>
              <w:t>(2)</w:t>
            </w:r>
          </w:p>
        </w:tc>
        <w:tc>
          <w:tcPr>
            <w:tcW w:w="9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8"/>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TrueBridge</w:t>
            </w:r>
          </w:p>
        </w:tc>
        <w:tc>
          <w:tcPr>
            <w:tcW w:w="0" w:type="dxa"/>
            <w:vAlign w:val="bottom"/>
          </w:tcPr>
          <w:p>
            <w:pPr>
              <w:spacing w:after="0"/>
              <w:rPr>
                <w:sz w:val="1"/>
                <w:szCs w:val="1"/>
                <w:color w:val="auto"/>
              </w:rPr>
            </w:pPr>
          </w:p>
        </w:tc>
      </w:tr>
      <w:tr>
        <w:trPr>
          <w:trHeight w:val="208"/>
        </w:trPr>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2,456,543</w:t>
            </w:r>
          </w:p>
        </w:tc>
        <w:tc>
          <w:tcPr>
            <w:tcW w:w="920" w:type="dxa"/>
            <w:vAlign w:val="bottom"/>
          </w:tcPr>
          <w:p>
            <w:pPr>
              <w:jc w:val="center"/>
              <w:spacing w:after="0" w:line="207"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9"/>
                <w:szCs w:val="9"/>
                <w:color w:val="008000"/>
              </w:rPr>
              <w:t>(3)</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Colonial</w:t>
            </w:r>
          </w:p>
        </w:tc>
        <w:tc>
          <w:tcPr>
            <w:tcW w:w="0" w:type="dxa"/>
            <w:vAlign w:val="bottom"/>
          </w:tcPr>
          <w:p>
            <w:pPr>
              <w:spacing w:after="0"/>
              <w:rPr>
                <w:sz w:val="1"/>
                <w:szCs w:val="1"/>
                <w:color w:val="auto"/>
              </w:rPr>
            </w:pPr>
          </w:p>
        </w:tc>
      </w:tr>
      <w:tr>
        <w:trPr>
          <w:trHeight w:val="208"/>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Fund, u/a</w:t>
            </w:r>
          </w:p>
        </w:tc>
        <w:tc>
          <w:tcPr>
            <w:tcW w:w="0" w:type="dxa"/>
            <w:vAlign w:val="bottom"/>
          </w:tcPr>
          <w:p>
            <w:pPr>
              <w:spacing w:after="0"/>
              <w:rPr>
                <w:sz w:val="1"/>
                <w:szCs w:val="1"/>
                <w:color w:val="auto"/>
              </w:rPr>
            </w:pPr>
          </w:p>
        </w:tc>
      </w:tr>
      <w:tr>
        <w:trPr>
          <w:trHeight w:val="219"/>
        </w:trPr>
        <w:tc>
          <w:tcPr>
            <w:tcW w:w="24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11/15/2015</w:t>
            </w:r>
          </w:p>
        </w:tc>
        <w:tc>
          <w:tcPr>
            <w:tcW w:w="0" w:type="dxa"/>
            <w:vAlign w:val="bottom"/>
          </w:tcPr>
          <w:p>
            <w:pPr>
              <w:spacing w:after="0"/>
              <w:rPr>
                <w:sz w:val="1"/>
                <w:szCs w:val="1"/>
                <w:color w:val="auto"/>
              </w:rPr>
            </w:pPr>
          </w:p>
        </w:tc>
      </w:tr>
      <w:tr>
        <w:trPr>
          <w:trHeight w:val="60"/>
        </w:trPr>
        <w:tc>
          <w:tcPr>
            <w:tcW w:w="246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Edwin</w:t>
            </w:r>
          </w:p>
        </w:tc>
        <w:tc>
          <w:tcPr>
            <w:tcW w:w="0" w:type="dxa"/>
            <w:vAlign w:val="bottom"/>
          </w:tcPr>
          <w:p>
            <w:pPr>
              <w:spacing w:after="0"/>
              <w:rPr>
                <w:sz w:val="1"/>
                <w:szCs w:val="1"/>
                <w:color w:val="auto"/>
              </w:rPr>
            </w:pPr>
          </w:p>
        </w:tc>
      </w:tr>
      <w:tr>
        <w:trPr>
          <w:trHeight w:val="208"/>
        </w:trPr>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521,664</w:t>
            </w:r>
          </w:p>
        </w:tc>
        <w:tc>
          <w:tcPr>
            <w:tcW w:w="920" w:type="dxa"/>
            <w:vAlign w:val="bottom"/>
            <w:vMerge w:val="restart"/>
          </w:tcPr>
          <w:p>
            <w:pPr>
              <w:jc w:val="center"/>
              <w:spacing w:after="0" w:line="377" w:lineRule="exact"/>
              <w:rPr>
                <w:sz w:val="20"/>
                <w:szCs w:val="20"/>
                <w:color w:val="auto"/>
              </w:rPr>
            </w:pPr>
            <w:r>
              <w:rPr>
                <w:rFonts w:ascii="Times New Roman" w:cs="Times New Roman" w:eastAsia="Times New Roman" w:hAnsi="Times New Roman"/>
                <w:sz w:val="33"/>
                <w:szCs w:val="33"/>
                <w:color w:val="0000FF"/>
                <w:w w:val="89"/>
                <w:vertAlign w:val="subscript"/>
              </w:rPr>
              <w:t>I</w:t>
            </w:r>
            <w:r>
              <w:rPr>
                <w:rFonts w:ascii="Times New Roman" w:cs="Times New Roman" w:eastAsia="Times New Roman" w:hAnsi="Times New Roman"/>
                <w:sz w:val="11"/>
                <w:szCs w:val="11"/>
                <w:color w:val="008000"/>
                <w:w w:val="89"/>
              </w:rPr>
              <w:t>(4)</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 Poston</w:t>
            </w:r>
          </w:p>
        </w:tc>
        <w:tc>
          <w:tcPr>
            <w:tcW w:w="0" w:type="dxa"/>
            <w:vAlign w:val="bottom"/>
          </w:tcPr>
          <w:p>
            <w:pPr>
              <w:spacing w:after="0"/>
              <w:rPr>
                <w:sz w:val="1"/>
                <w:szCs w:val="1"/>
                <w:color w:val="auto"/>
              </w:rPr>
            </w:pPr>
          </w:p>
        </w:tc>
      </w:tr>
      <w:tr>
        <w:trPr>
          <w:trHeight w:val="169"/>
        </w:trPr>
        <w:tc>
          <w:tcPr>
            <w:tcW w:w="2460" w:type="dxa"/>
            <w:vAlign w:val="bottom"/>
            <w:vMerge w:val="continue"/>
          </w:tcPr>
          <w:p>
            <w:pPr>
              <w:spacing w:after="0"/>
              <w:rPr>
                <w:sz w:val="14"/>
                <w:szCs w:val="14"/>
                <w:color w:val="auto"/>
              </w:rPr>
            </w:pPr>
          </w:p>
        </w:tc>
        <w:tc>
          <w:tcPr>
            <w:tcW w:w="1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50"/>
        </w:trPr>
        <w:tc>
          <w:tcPr>
            <w:tcW w:w="24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120"/>
        <w:spacing w:after="0"/>
        <w:rPr>
          <w:sz w:val="20"/>
          <w:szCs w:val="20"/>
          <w:color w:val="auto"/>
        </w:rPr>
      </w:pPr>
      <w:r>
        <w:rPr>
          <w:rFonts w:ascii="Times New Roman" w:cs="Times New Roman" w:eastAsia="Times New Roman" w:hAnsi="Times New Roman"/>
          <w:sz w:val="17"/>
          <w:szCs w:val="17"/>
          <w:color w:val="0000FF"/>
        </w:rPr>
        <w:t>Trust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9,120</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(2)</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02/14/2026</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9,120</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44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74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right to receive one share of the Issuer's Class A Common Stock upon vesting.</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by the Reporting Person.</w:t>
      </w:r>
    </w:p>
    <w:p>
      <w:pPr>
        <w:spacing w:after="0" w:line="45" w:lineRule="exact"/>
        <w:rPr>
          <w:rFonts w:ascii="Times New Roman" w:cs="Times New Roman" w:eastAsia="Times New Roman" w:hAnsi="Times New Roman"/>
          <w:sz w:val="13"/>
          <w:szCs w:val="13"/>
          <w:color w:val="008000"/>
        </w:rPr>
      </w:pPr>
    </w:p>
    <w:p>
      <w:pPr>
        <w:ind w:left="40" w:right="22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and indirectly by TrueBridge Colonial Fund, u/a 11/15/2015 ("TrueBridge Colonial"). First Republic Trust Company of Delaware, as trustee of TrueBridge Colonial, may be deemed to beneficially own the securities of the Issuer owned directly and indirectly by TrueBridge Colonial. The Reporting Person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pacing w:after="0" w:line="28" w:lineRule="exact"/>
        <w:rPr>
          <w:rFonts w:ascii="Times New Roman" w:cs="Times New Roman" w:eastAsia="Times New Roman" w:hAnsi="Times New Roman"/>
          <w:sz w:val="13"/>
          <w:szCs w:val="13"/>
          <w:color w:val="008000"/>
        </w:rPr>
      </w:pPr>
    </w:p>
    <w:p>
      <w:pPr>
        <w:ind w:left="40" w:right="16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by the Edwin A. Poston Revocable Trust (the "Poston Trust"). The Reporting Person, as sole trustee of the Poston Trust, may be deemed to beneficially own the securities of the Issuer owned indirectly by TrueBridge Colonial. The Reporting Person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14, 2025, the Reporting Person was granted a total of 9,120 RSUs, all of which vested on the first anniversary of the grant 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This Form 4 is being filed on behalf of Edwin A. Poston (the "Reporting Person"). The Reporting Person serves as a director on the board of directors of the Issuer.</w:t>
      </w:r>
    </w:p>
    <w:p>
      <w:pPr>
        <w:spacing w:after="0" w:line="7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By: Dominic Hong,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9658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65835" cy="8255"/>
                    </a:xfrm>
                    <a:prstGeom prst="rect">
                      <a:avLst/>
                    </a:prstGeom>
                    <a:noFill/>
                  </pic:spPr>
                </pic:pic>
              </a:graphicData>
            </a:graphic>
          </wp:anchor>
        </w:drawing>
      </w:r>
    </w:p>
    <w:p>
      <w:pPr>
        <w:ind w:left="6600"/>
        <w:spacing w:after="0" w:line="199" w:lineRule="auto"/>
        <w:tabs>
          <w:tab w:leader="none" w:pos="8780" w:val="left"/>
        </w:tabs>
        <w:rPr>
          <w:sz w:val="20"/>
          <w:szCs w:val="20"/>
          <w:color w:val="auto"/>
        </w:rPr>
      </w:pPr>
      <w:r>
        <w:rPr>
          <w:rFonts w:ascii="Times New Roman" w:cs="Times New Roman" w:eastAsia="Times New Roman" w:hAnsi="Times New Roman"/>
          <w:sz w:val="17"/>
          <w:szCs w:val="17"/>
          <w:color w:val="0000FF"/>
        </w:rPr>
        <w:t>Attorney-in-Fact, for the</w:t>
      </w:r>
      <w:r>
        <w:rPr>
          <w:sz w:val="20"/>
          <w:szCs w:val="20"/>
          <w:color w:val="auto"/>
        </w:rPr>
        <w:tab/>
      </w:r>
      <w:r>
        <w:rPr>
          <w:rFonts w:ascii="Times New Roman" w:cs="Times New Roman" w:eastAsia="Times New Roman" w:hAnsi="Times New Roman"/>
          <w:sz w:val="25"/>
          <w:szCs w:val="25"/>
          <w:color w:val="0000FF"/>
          <w:vertAlign w:val="subscript"/>
        </w:rPr>
        <w:t>02/18/2026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0579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579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Reporting Person, /s/ Dominic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3055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05560"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Hong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2381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38125" cy="8255"/>
                    </a:xfrm>
                    <a:prstGeom prst="rect">
                      <a:avLst/>
                    </a:prstGeom>
                    <a:noFill/>
                  </pic:spPr>
                </pic:pic>
              </a:graphicData>
            </a:graphic>
          </wp:anchor>
        </w:drawing>
      </w:r>
    </w:p>
    <w:p>
      <w:pPr>
        <w:sectPr>
          <w:pgSz w:w="11900" w:h="16838" w:orient="portrait"/>
          <w:cols w:equalWidth="0" w:num="1">
            <w:col w:w="11080"/>
          </w:cols>
          <w:pgMar w:left="460" w:top="216" w:right="359" w:bottom="0" w:gutter="0" w:footer="0" w:header="0"/>
          <w:type w:val="continuous"/>
        </w:sectPr>
      </w:pPr>
    </w:p>
    <w:bookmarkStart w:id="1" w:name="page2"/>
    <w:bookmarkEnd w:id="1"/>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59" w:firstLine="3"/>
        <w:spacing w:after="0" w:line="339"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88753"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2026-02-18T16:07:21Z</dcterms:created>
  <dcterms:modified xsi:type="dcterms:W3CDTF">2026-02-18T16:07:21Z</dcterms:modified>
</cp:coreProperties>
</file>