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65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513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Penver John K</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920"/>
        <w:spacing w:after="0" w:line="329"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4"/>
        <w:spacing w:after="0"/>
        <w:rPr>
          <w:sz w:val="20"/>
          <w:szCs w:val="20"/>
          <w:color w:val="auto"/>
        </w:rPr>
      </w:pPr>
      <w:r>
        <w:rPr>
          <w:rFonts w:ascii="Arial" w:cs="Arial" w:eastAsia="Arial" w:hAnsi="Arial"/>
          <w:sz w:val="17"/>
          <w:szCs w:val="17"/>
          <w:color w:val="0000FF"/>
        </w:rPr>
        <w:t>Chief Financial Officer</w:t>
      </w:r>
    </w:p>
    <w:p>
      <w:pPr>
        <w:spacing w:after="0" w:line="440"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40" w:type="dxa"/>
            <w:vAlign w:val="bottom"/>
            <w:gridSpan w:val="7"/>
          </w:tcPr>
          <w:p>
            <w:pPr>
              <w:jc w:val="center"/>
              <w:ind w:righ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w w:val="99"/>
              </w:rPr>
              <w:t>AUSTIN</w:t>
            </w:r>
          </w:p>
        </w:tc>
        <w:tc>
          <w:tcPr>
            <w:tcW w:w="18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84"/>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292,500</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292,500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0.79</w:t>
            </w:r>
          </w:p>
        </w:tc>
        <w:tc>
          <w:tcPr>
            <w:tcW w:w="1100" w:type="dxa"/>
            <w:vAlign w:val="bottom"/>
          </w:tcPr>
          <w:p>
            <w:pPr>
              <w:jc w:val="right"/>
              <w:ind w:right="175"/>
              <w:spacing w:after="0" w:line="140" w:lineRule="exact"/>
              <w:rPr>
                <w:sz w:val="20"/>
                <w:szCs w:val="20"/>
                <w:color w:val="auto"/>
              </w:rPr>
            </w:pPr>
            <w:r>
              <w:rPr>
                <w:rFonts w:ascii="Arial" w:cs="Arial" w:eastAsia="Arial" w:hAnsi="Arial"/>
                <w:sz w:val="13"/>
                <w:szCs w:val="13"/>
                <w:color w:val="0000FF"/>
              </w:rPr>
              <w:t>02/24/2011</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0" w:lineRule="exact"/>
              <w:rPr>
                <w:sz w:val="20"/>
                <w:szCs w:val="20"/>
                <w:color w:val="auto"/>
              </w:rPr>
            </w:pPr>
            <w:r>
              <w:rPr>
                <w:rFonts w:ascii="Arial" w:cs="Arial" w:eastAsia="Arial" w:hAnsi="Arial"/>
                <w:sz w:val="13"/>
                <w:szCs w:val="13"/>
                <w:color w:val="0000FF"/>
                <w:w w:val="98"/>
              </w:rPr>
              <w:t>02/25/2020</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292,500</w:t>
            </w:r>
          </w:p>
        </w:tc>
        <w:tc>
          <w:tcPr>
            <w:tcW w:w="66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2010, the reporting person was granted an option to purchase shares of common stock, of which 292,500 option shares became eligible for vesting on February 24, 2011 upon Active Power's satisfaction of certain performance criteria for the fiscal year ending December 31, 2010.</w:t>
      </w:r>
    </w:p>
    <w:p>
      <w:pPr>
        <w:spacing w:after="0" w:line="22" w:lineRule="exact"/>
        <w:rPr>
          <w:rFonts w:ascii="Arial" w:cs="Arial" w:eastAsia="Arial" w:hAnsi="Arial"/>
          <w:sz w:val="13"/>
          <w:szCs w:val="13"/>
          <w:color w:val="008000"/>
        </w:rPr>
      </w:pPr>
    </w:p>
    <w:p>
      <w:pPr>
        <w:ind w:left="40" w:right="3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number of option shares eligible for vesting shall vest as follows: (i) 50% on the first anniversary of the date of grant, (ii) 25% on the second anniversary of the date of grant, and (iii) 25% on the third anniversary of the date of grant.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John K. Penver</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02/24/2011</w:t>
            </w: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892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2019-12-17T04:33:42Z</dcterms:created>
  <dcterms:modified xsi:type="dcterms:W3CDTF">2019-12-17T04:33:42Z</dcterms:modified>
</cp:coreProperties>
</file>