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Adleman Randall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4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 2128 W. BRAKER LANE,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Global Sales &amp; Marketing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2/26/2016, and the balance shall vest and become exercisable in a series of twelve equal quarterly installments upon the completion of each additional quarter of service through 2/26/2019.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Beth Sarno (Attorney-in-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524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2019-12-07T00:39:05Z</dcterms:created>
  <dcterms:modified xsi:type="dcterms:W3CDTF">2019-12-07T00:39:05Z</dcterms:modified>
</cp:coreProperties>
</file>