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 01/26/2005</w:t>
      </w:r>
    </w:p>
    <w:p>
      <w:pPr>
        <w:spacing w:after="0" w:line="12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ACTIVE POWER INC</w:t>
      </w:r>
    </w:p>
    <w:p>
      <w:pPr>
        <w:spacing w:after="0" w:line="4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Commission File Number: 000-30939</w:t>
      </w:r>
    </w:p>
    <w:p>
      <w:pPr>
        <w:sectPr>
          <w:pgSz w:w="11900" w:h="16838" w:orient="portrait"/>
          <w:cols w:equalWidth="0" w:num="1">
            <w:col w:w="10920"/>
          </w:cols>
          <w:pgMar w:left="240" w:top="530" w:right="739" w:bottom="1440" w:gutter="0" w:footer="0" w:header="0"/>
        </w:sectPr>
      </w:pPr>
    </w:p>
    <w:p>
      <w:pPr>
        <w:spacing w:after="0" w:line="139" w:lineRule="exact"/>
        <w:rPr>
          <w:sz w:val="24"/>
          <w:szCs w:val="24"/>
          <w:color w:val="auto"/>
        </w:rPr>
      </w:pPr>
    </w:p>
    <w:p>
      <w:pPr>
        <w:ind w:left="294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74-2961657</w:t>
      </w:r>
    </w:p>
    <w:p>
      <w:pPr>
        <w:spacing w:after="0" w:line="62" w:lineRule="exact"/>
        <w:rPr>
          <w:sz w:val="24"/>
          <w:szCs w:val="24"/>
          <w:color w:val="auto"/>
        </w:rPr>
      </w:pPr>
    </w:p>
    <w:p>
      <w:pPr>
        <w:sectPr>
          <w:pgSz w:w="11900" w:h="16838" w:orient="portrait"/>
          <w:cols w:equalWidth="0" w:num="2">
            <w:col w:w="8020" w:space="720"/>
            <w:col w:w="2180"/>
          </w:cols>
          <w:pgMar w:left="240" w:top="530" w:right="739" w:bottom="1440" w:gutter="0" w:footer="0" w:header="0"/>
          <w:type w:val="continuous"/>
        </w:sectPr>
      </w:pPr>
    </w:p>
    <w:p>
      <w:pPr>
        <w:ind w:left="22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ind w:left="22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b w:val="1"/>
          <w:bCs w:val="1"/>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55" w:lineRule="exact"/>
        <w:rPr>
          <w:sz w:val="24"/>
          <w:szCs w:val="24"/>
          <w:color w:val="auto"/>
        </w:rPr>
      </w:pPr>
    </w:p>
    <w:p>
      <w:pPr>
        <w:sectPr>
          <w:pgSz w:w="11900" w:h="16838" w:orient="portrait"/>
          <w:cols w:equalWidth="0" w:num="2">
            <w:col w:w="7840" w:space="720"/>
            <w:col w:w="2360"/>
          </w:cols>
          <w:pgMar w:left="240" w:top="530" w:right="739" w:bottom="1440" w:gutter="0" w:footer="0" w:header="0"/>
          <w:type w:val="continuous"/>
        </w:sectPr>
      </w:pPr>
    </w:p>
    <w:p>
      <w:pPr>
        <w:jc w:val="center"/>
        <w:ind w:right="-519"/>
        <w:spacing w:after="0"/>
        <w:rPr>
          <w:sz w:val="20"/>
          <w:szCs w:val="20"/>
          <w:color w:val="auto"/>
        </w:rPr>
      </w:pPr>
      <w:r>
        <w:rPr>
          <w:rFonts w:ascii="Arial" w:cs="Arial" w:eastAsia="Arial" w:hAnsi="Arial"/>
          <w:sz w:val="21"/>
          <w:szCs w:val="21"/>
          <w:b w:val="1"/>
          <w:bCs w:val="1"/>
          <w:color w:val="auto"/>
        </w:rPr>
        <w:t>2128 W. Braker Lane, BK12, Austin, TX 78758</w:t>
      </w:r>
    </w:p>
    <w:p>
      <w:pPr>
        <w:spacing w:after="0" w:line="35"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1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512 836 6464</w:t>
      </w:r>
    </w:p>
    <w:p>
      <w:pPr>
        <w:spacing w:after="0" w:line="23"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61"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ectPr>
          <w:pgSz w:w="11900" w:h="16838" w:orient="portrait"/>
          <w:cols w:equalWidth="0" w:num="1">
            <w:col w:w="10920"/>
          </w:cols>
          <w:pgMar w:left="240" w:top="530" w:right="739" w:bottom="1440" w:gutter="0" w:footer="0" w:header="0"/>
          <w:type w:val="continuous"/>
        </w:sectPr>
      </w:pPr>
    </w:p>
    <w:p>
      <w:pPr>
        <w:spacing w:after="0" w:line="34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Soliciting material pursuant to Rule 14a-12 under the Exchange Act(17CFR240.14a-12)</w:t>
      </w:r>
    </w:p>
    <w:p>
      <w:pPr>
        <w:spacing w:after="0" w:line="22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Pre-commencement communications pursuant to Rule 14d-2(b) under the Exchange Act(17CFR240.14d-2(b))</w:t>
      </w:r>
    </w:p>
    <w:p>
      <w:pPr>
        <w:spacing w:after="0" w:line="225" w:lineRule="exact"/>
        <w:rPr>
          <w:rFonts w:ascii="Arial" w:cs="Arial" w:eastAsia="Arial" w:hAnsi="Arial"/>
          <w:sz w:val="18"/>
          <w:szCs w:val="18"/>
          <w:b w:val="1"/>
          <w:bCs w:val="1"/>
          <w:color w:val="auto"/>
        </w:rPr>
      </w:pPr>
    </w:p>
    <w:p>
      <w:pPr>
        <w:ind w:left="160" w:hanging="152"/>
        <w:spacing w:after="0"/>
        <w:tabs>
          <w:tab w:leader="none" w:pos="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Pre-commencement communications pursuant to Rule 13e-4(c) under the Exchange Act(17CFR240.13e-4(c))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20"/>
          </w:cols>
          <w:pgMar w:left="240" w:top="530" w:right="7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color w:val="auto"/>
        </w:rPr>
        <w:t>Items to be Included in this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ind w:firstLine="464"/>
        <w:spacing w:after="0" w:line="294" w:lineRule="auto"/>
        <w:tabs>
          <w:tab w:leader="none" w:pos="1002"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26, 2005 Active Power, Inc. (the "Company") entered into a letter agreement with David Gino, its Chief Operating Officer and Chief Financial Officer, wherein the Company agreed to set the period in which Mr. Gino could exercise options to purchase an aggregate of 198,000 shares of Active Power common stock at exercise prices ranging from $1.22 to $20.00 per share until January 30, 2006. In exchange for setting the exercise period for these options, Mr. Gino has agreed to continue his employment with the Company through the completion of certain financial reporting events, including the filing of the Company's Annual Report on Form 10-K. Mr. Gino announced his resignation from the Company on December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ACTIVE POWER INC</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January 26,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5"/>
          <w:szCs w:val="15"/>
          <w:color w:val="auto"/>
        </w:rPr>
        <w:t>Chairman of the Board, President and Chief Executive</w:t>
      </w:r>
    </w:p>
    <w:p>
      <w:pPr>
        <w:spacing w:after="0" w:line="44"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60"/>
      </w:cols>
      <w:pgMar w:left="24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2019-12-14T17:12:43Z</dcterms:created>
  <dcterms:modified xsi:type="dcterms:W3CDTF">2019-12-14T17:12:43Z</dcterms:modified>
</cp:coreProperties>
</file>