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ALMGREN AKE</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ACTIVE POWER</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05/28/2014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2128 W. BRAKER LANE, BK12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1880" w:type="dxa"/>
            <w:vAlign w:val="bottom"/>
            <w:gridSpan w:val="3"/>
          </w:tcPr>
          <w:p>
            <w:pPr>
              <w:ind w:left="620"/>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9"/>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9"/>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2.79</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05/28/2014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05/28/2024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8"/>
        <w:spacing w:after="0" w:line="29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Subject to Section 15 of the Active Power, Inc. 2010 Equity Incentive Plan, all shares subject to the option will fully vest on the close of business on the day immediately prior to the date of the annual meeting of stockholders of Active Power, Inc. which is held in the calendar year following the grant date of the option, provided that the optionee continues to serve as a director of Active Power, Inc. through such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R. Covington (Attorney-in-</w:t>
            </w:r>
          </w:p>
        </w:tc>
        <w:tc>
          <w:tcPr>
            <w:tcW w:w="18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05/30/2014</w:t>
            </w:r>
          </w:p>
        </w:tc>
        <w:tc>
          <w:tcPr>
            <w:tcW w:w="0" w:type="dxa"/>
            <w:vAlign w:val="bottom"/>
          </w:tcPr>
          <w:p>
            <w:pPr>
              <w:spacing w:after="0"/>
              <w:rPr>
                <w:sz w:val="1"/>
                <w:szCs w:val="1"/>
                <w:color w:val="auto"/>
              </w:rPr>
            </w:pPr>
          </w:p>
        </w:tc>
      </w:tr>
      <w:tr>
        <w:trPr>
          <w:trHeight w:val="92"/>
        </w:trPr>
        <w:tc>
          <w:tcPr>
            <w:tcW w:w="360" w:type="dxa"/>
            <w:vAlign w:val="bottom"/>
            <w:vMerge w:val="restart"/>
          </w:tcPr>
          <w:p>
            <w:pPr>
              <w:spacing w:after="0"/>
              <w:rPr>
                <w:sz w:val="20"/>
                <w:szCs w:val="20"/>
                <w:color w:val="auto"/>
              </w:rPr>
            </w:pPr>
            <w:r>
              <w:rPr>
                <w:rFonts w:ascii="Arial" w:cs="Arial" w:eastAsia="Arial" w:hAnsi="Arial"/>
                <w:sz w:val="17"/>
                <w:szCs w:val="17"/>
                <w:color w:val="0000FF"/>
                <w:w w:val="87"/>
              </w:rPr>
              <w:t>Fact)</w:t>
            </w:r>
          </w:p>
        </w:tc>
        <w:tc>
          <w:tcPr>
            <w:tcW w:w="19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3168"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2019-12-17T06:14:00Z</dcterms:created>
  <dcterms:modified xsi:type="dcterms:W3CDTF">2019-12-17T06:14:00Z</dcterms:modified>
</cp:coreProperties>
</file>