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422" w:right="239" w:bottom="1440" w:gutter="0" w:footer="0" w:header="0"/>
        </w:sectPr>
      </w:pPr>
    </w:p>
    <w:p>
      <w:pPr>
        <w:spacing w:after="0" w:line="175"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56" w:lineRule="exact"/>
        <w:rPr>
          <w:sz w:val="24"/>
          <w:szCs w:val="24"/>
          <w:color w:val="auto"/>
        </w:rPr>
      </w:pPr>
    </w:p>
    <w:p>
      <w:pPr>
        <w:sectPr>
          <w:pgSz w:w="11900" w:h="16838" w:orient="portrait"/>
          <w:cols w:equalWidth="0" w:num="2">
            <w:col w:w="7540" w:space="720"/>
            <w:col w:w="3160"/>
          </w:cols>
          <w:pgMar w:left="240" w:top="422"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308" w:lineRule="exact"/>
        <w:rPr>
          <w:sz w:val="24"/>
          <w:szCs w:val="24"/>
          <w:color w:val="auto"/>
        </w:rPr>
      </w:pPr>
    </w:p>
    <w:p>
      <w:pPr>
        <w:sectPr>
          <w:pgSz w:w="11900" w:h="16838" w:orient="portrait"/>
          <w:cols w:equalWidth="0" w:num="2">
            <w:col w:w="6800" w:space="720"/>
            <w:col w:w="3900"/>
          </w:cols>
          <w:pgMar w:left="240" w:top="422"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w:t>
      </w:r>
    </w:p>
    <w:p>
      <w:pPr>
        <w:jc w:val="center"/>
        <w:spacing w:after="0"/>
        <w:rPr>
          <w:sz w:val="20"/>
          <w:szCs w:val="20"/>
          <w:color w:val="auto"/>
        </w:rPr>
      </w:pPr>
      <w:r>
        <w:rPr>
          <w:rFonts w:ascii="Arial" w:cs="Arial" w:eastAsia="Arial" w:hAnsi="Arial"/>
          <w:sz w:val="14"/>
          <w:szCs w:val="14"/>
          <w:b w:val="1"/>
          <w:bCs w:val="1"/>
          <w:color w:val="auto"/>
        </w:rPr>
        <w:t>Registrant’s principal executive offices)</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STOCK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James A. Clishem</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L. Willis,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900 South Capital of Texas Highway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Las Cimas IV,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TX 78746</w:t>
      </w:r>
    </w:p>
    <w:p>
      <w:pPr>
        <w:spacing w:after="0" w:line="165"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60" w:type="dxa"/>
            <w:vAlign w:val="bottom"/>
            <w:gridSpan w:val="2"/>
          </w:tcPr>
          <w:p>
            <w:pPr>
              <w:ind w:left="920"/>
              <w:spacing w:after="0"/>
              <w:rPr>
                <w:sz w:val="20"/>
                <w:szCs w:val="20"/>
                <w:color w:val="auto"/>
              </w:rPr>
            </w:pPr>
            <w:r>
              <w:rPr>
                <w:rFonts w:ascii="Arial" w:cs="Arial" w:eastAsia="Arial" w:hAnsi="Arial"/>
                <w:sz w:val="18"/>
                <w:szCs w:val="18"/>
                <w:color w:val="auto"/>
                <w:w w:val="90"/>
              </w:rPr>
              <w:t>Large accelerated filer</w:t>
            </w:r>
          </w:p>
        </w:tc>
        <w:tc>
          <w:tcPr>
            <w:tcW w:w="9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w w:val="92"/>
              </w:rPr>
              <w:t>Accelerated filer</w:t>
            </w:r>
          </w:p>
        </w:tc>
        <w:tc>
          <w:tcPr>
            <w:tcW w:w="60" w:type="dxa"/>
            <w:vAlign w:val="bottom"/>
          </w:tcPr>
          <w:p>
            <w:pPr>
              <w:spacing w:after="0"/>
              <w:rPr>
                <w:sz w:val="18"/>
                <w:szCs w:val="18"/>
                <w:color w:val="auto"/>
              </w:rPr>
            </w:pPr>
          </w:p>
        </w:tc>
        <w:tc>
          <w:tcPr>
            <w:tcW w:w="680" w:type="dxa"/>
            <w:vAlign w:val="bottom"/>
          </w:tcPr>
          <w:p>
            <w:pPr>
              <w:jc w:val="right"/>
              <w:ind w:right="327"/>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560" w:type="dxa"/>
            <w:vAlign w:val="bottom"/>
            <w:gridSpan w:val="2"/>
          </w:tcPr>
          <w:p>
            <w:pPr>
              <w:ind w:left="920"/>
              <w:spacing w:after="0"/>
              <w:rPr>
                <w:sz w:val="20"/>
                <w:szCs w:val="20"/>
                <w:color w:val="auto"/>
              </w:rPr>
            </w:pPr>
            <w:r>
              <w:rPr>
                <w:rFonts w:ascii="Arial" w:cs="Arial" w:eastAsia="Arial" w:hAnsi="Arial"/>
                <w:sz w:val="18"/>
                <w:szCs w:val="18"/>
                <w:color w:val="auto"/>
                <w:w w:val="97"/>
              </w:rPr>
              <w:t>Non-accelerated filer</w:t>
            </w:r>
          </w:p>
        </w:tc>
        <w:tc>
          <w:tcPr>
            <w:tcW w:w="9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spacing w:after="0"/>
              <w:rPr>
                <w:sz w:val="23"/>
                <w:szCs w:val="23"/>
                <w:color w:val="auto"/>
              </w:rPr>
            </w:pPr>
          </w:p>
        </w:tc>
        <w:tc>
          <w:tcPr>
            <w:tcW w:w="2100" w:type="dxa"/>
            <w:vAlign w:val="bottom"/>
            <w:gridSpan w:val="4"/>
          </w:tcPr>
          <w:p>
            <w:pPr>
              <w:ind w:left="140"/>
              <w:spacing w:after="0"/>
              <w:rPr>
                <w:sz w:val="20"/>
                <w:szCs w:val="20"/>
                <w:color w:val="auto"/>
              </w:rPr>
            </w:pPr>
            <w:r>
              <w:rPr>
                <w:rFonts w:ascii="Arial" w:cs="Arial" w:eastAsia="Arial" w:hAnsi="Arial"/>
                <w:sz w:val="18"/>
                <w:szCs w:val="18"/>
                <w:color w:val="auto"/>
                <w:w w:val="90"/>
              </w:rPr>
              <w:t>Smaller reporting company</w:t>
            </w:r>
          </w:p>
        </w:tc>
        <w:tc>
          <w:tcPr>
            <w:tcW w:w="420" w:type="dxa"/>
            <w:vAlign w:val="bottom"/>
            <w:vMerge w:val="continue"/>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2"/>
        </w:trPr>
        <w:tc>
          <w:tcPr>
            <w:tcW w:w="7320" w:type="dxa"/>
            <w:vAlign w:val="bottom"/>
            <w:gridSpan w:val="6"/>
          </w:tcPr>
          <w:p>
            <w:pPr>
              <w:ind w:left="920"/>
              <w:spacing w:after="0"/>
              <w:rPr>
                <w:sz w:val="20"/>
                <w:szCs w:val="20"/>
                <w:color w:val="auto"/>
              </w:rPr>
            </w:pPr>
            <w:r>
              <w:rPr>
                <w:rFonts w:ascii="Arial" w:cs="Arial" w:eastAsia="Arial" w:hAnsi="Arial"/>
                <w:sz w:val="18"/>
                <w:szCs w:val="18"/>
                <w:color w:val="auto"/>
              </w:rPr>
              <w:t>(Do not check if a smaller reporting company)</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0" w:type="dxa"/>
            <w:vAlign w:val="bottom"/>
            <w:gridSpan w:val="5"/>
          </w:tcPr>
          <w:p>
            <w:pPr>
              <w:jc w:val="right"/>
              <w:ind w:right="587"/>
              <w:spacing w:after="0"/>
              <w:rPr>
                <w:sz w:val="20"/>
                <w:szCs w:val="20"/>
                <w:color w:val="auto"/>
              </w:rPr>
            </w:pPr>
            <w:r>
              <w:rPr>
                <w:rFonts w:ascii="Arial" w:cs="Arial" w:eastAsia="Arial" w:hAnsi="Arial"/>
                <w:sz w:val="18"/>
                <w:szCs w:val="18"/>
                <w:b w:val="1"/>
                <w:bCs w:val="1"/>
                <w:color w:val="auto"/>
              </w:rPr>
              <w:t>CALCULATION OF REGISTRATION FEE</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7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of Shares to</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be</w:t>
            </w:r>
          </w:p>
        </w:tc>
        <w:tc>
          <w:tcPr>
            <w:tcW w:w="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Registered</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Title of Securities to be Registered</w:t>
            </w:r>
          </w:p>
        </w:tc>
        <w:tc>
          <w:tcPr>
            <w:tcW w:w="900" w:type="dxa"/>
            <w:vAlign w:val="bottom"/>
          </w:tcPr>
          <w:p>
            <w:pPr>
              <w:spacing w:after="0"/>
              <w:rPr>
                <w:sz w:val="14"/>
                <w:szCs w:val="14"/>
                <w:color w:val="auto"/>
              </w:rPr>
            </w:pPr>
          </w:p>
        </w:tc>
        <w:tc>
          <w:tcPr>
            <w:tcW w:w="3200" w:type="dxa"/>
            <w:vAlign w:val="bottom"/>
            <w:gridSpan w:val="2"/>
          </w:tcPr>
          <w:p>
            <w:pPr>
              <w:jc w:val="right"/>
              <w:ind w:right="186"/>
              <w:spacing w:after="0"/>
              <w:rPr>
                <w:sz w:val="20"/>
                <w:szCs w:val="20"/>
                <w:color w:val="auto"/>
              </w:rPr>
            </w:pPr>
            <w:r>
              <w:rPr>
                <w:rFonts w:ascii="Arial" w:cs="Arial" w:eastAsia="Arial" w:hAnsi="Arial"/>
                <w:sz w:val="14"/>
                <w:szCs w:val="14"/>
                <w:b w:val="1"/>
                <w:bCs w:val="1"/>
                <w:color w:val="auto"/>
              </w:rPr>
              <w:t>(1)</w:t>
            </w:r>
          </w:p>
        </w:tc>
        <w:tc>
          <w:tcPr>
            <w:tcW w:w="66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Price Per Share (2)</w:t>
            </w:r>
          </w:p>
        </w:tc>
        <w:tc>
          <w:tcPr>
            <w:tcW w:w="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7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2"/>
              </w:rPr>
              <w:t>Fee</w:t>
            </w:r>
          </w:p>
        </w:tc>
        <w:tc>
          <w:tcPr>
            <w:tcW w:w="0" w:type="dxa"/>
            <w:vAlign w:val="bottom"/>
          </w:tcPr>
          <w:p>
            <w:pPr>
              <w:spacing w:after="0"/>
              <w:rPr>
                <w:sz w:val="1"/>
                <w:szCs w:val="1"/>
                <w:color w:val="auto"/>
              </w:rPr>
            </w:pPr>
          </w:p>
        </w:tc>
      </w:tr>
      <w:tr>
        <w:trPr>
          <w:trHeight w:val="201"/>
        </w:trPr>
        <w:tc>
          <w:tcPr>
            <w:tcW w:w="2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2000 Stock Incentive Plan</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w w:val="95"/>
              </w:rPr>
              <w:t>Common Stock, $0.001 par value</w:t>
            </w:r>
          </w:p>
        </w:tc>
        <w:tc>
          <w:tcPr>
            <w:tcW w:w="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560" w:type="dxa"/>
            <w:vAlign w:val="bottom"/>
            <w:gridSpan w:val="2"/>
          </w:tcPr>
          <w:p>
            <w:pPr>
              <w:spacing w:after="0"/>
              <w:rPr>
                <w:sz w:val="20"/>
                <w:szCs w:val="20"/>
                <w:color w:val="auto"/>
              </w:rPr>
            </w:pPr>
            <w:r>
              <w:rPr>
                <w:rFonts w:ascii="Arial" w:cs="Arial" w:eastAsia="Arial" w:hAnsi="Arial"/>
                <w:sz w:val="18"/>
                <w:szCs w:val="18"/>
                <w:color w:val="auto"/>
                <w:w w:val="94"/>
              </w:rPr>
              <w:t>(options available for future grant)</w:t>
            </w:r>
          </w:p>
        </w:tc>
        <w:tc>
          <w:tcPr>
            <w:tcW w:w="900" w:type="dxa"/>
            <w:vAlign w:val="bottom"/>
          </w:tcPr>
          <w:p>
            <w:pPr>
              <w:spacing w:after="0"/>
              <w:rPr>
                <w:sz w:val="20"/>
                <w:szCs w:val="20"/>
                <w:color w:val="auto"/>
              </w:rPr>
            </w:pPr>
          </w:p>
        </w:tc>
        <w:tc>
          <w:tcPr>
            <w:tcW w:w="3860" w:type="dxa"/>
            <w:vAlign w:val="bottom"/>
            <w:gridSpan w:val="3"/>
          </w:tcPr>
          <w:p>
            <w:pPr>
              <w:jc w:val="right"/>
              <w:ind w:right="660"/>
              <w:spacing w:after="0"/>
              <w:rPr>
                <w:sz w:val="20"/>
                <w:szCs w:val="20"/>
                <w:color w:val="auto"/>
              </w:rPr>
            </w:pPr>
            <w:r>
              <w:rPr>
                <w:rFonts w:ascii="Arial" w:cs="Arial" w:eastAsia="Arial" w:hAnsi="Arial"/>
                <w:sz w:val="18"/>
                <w:szCs w:val="18"/>
                <w:color w:val="auto"/>
              </w:rPr>
              <w:t>1,080,000</w:t>
            </w:r>
          </w:p>
        </w:tc>
        <w:tc>
          <w:tcPr>
            <w:tcW w:w="74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1.355</w:t>
            </w:r>
          </w:p>
        </w:tc>
        <w:tc>
          <w:tcPr>
            <w:tcW w:w="1500" w:type="dxa"/>
            <w:vAlign w:val="bottom"/>
            <w:gridSpan w:val="2"/>
          </w:tcPr>
          <w:p>
            <w:pPr>
              <w:jc w:val="center"/>
              <w:ind w:left="632"/>
              <w:spacing w:after="0"/>
              <w:rPr>
                <w:sz w:val="20"/>
                <w:szCs w:val="20"/>
                <w:color w:val="auto"/>
              </w:rPr>
            </w:pPr>
            <w:r>
              <w:rPr>
                <w:rFonts w:ascii="Arial" w:cs="Arial" w:eastAsia="Arial" w:hAnsi="Arial"/>
                <w:sz w:val="18"/>
                <w:szCs w:val="18"/>
                <w:color w:val="auto"/>
                <w:w w:val="86"/>
              </w:rPr>
              <w:t>$1,463,400</w:t>
            </w:r>
          </w:p>
        </w:tc>
        <w:tc>
          <w:tcPr>
            <w:tcW w:w="1440" w:type="dxa"/>
            <w:vAlign w:val="bottom"/>
            <w:gridSpan w:val="2"/>
          </w:tcPr>
          <w:p>
            <w:pPr>
              <w:jc w:val="center"/>
              <w:ind w:left="632"/>
              <w:spacing w:after="0"/>
              <w:rPr>
                <w:sz w:val="20"/>
                <w:szCs w:val="20"/>
                <w:color w:val="auto"/>
              </w:rPr>
            </w:pPr>
            <w:r>
              <w:rPr>
                <w:rFonts w:ascii="Arial" w:cs="Arial" w:eastAsia="Arial" w:hAnsi="Arial"/>
                <w:sz w:val="18"/>
                <w:szCs w:val="18"/>
                <w:color w:val="auto"/>
              </w:rPr>
              <w:t>$   57.51</w:t>
            </w: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ind w:left="340" w:right="800" w:hanging="332"/>
        <w:spacing w:after="0" w:line="26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Registration Statement shall also cover any additional shares of Common Stock which become issuable under the 2000 Stock Incentive Plan by reason of any stock dividend, stock split, recapitalization or any other similar transaction effected without the receipt of consideration that results in an increase in the number of the Registrant’s outstanding shares of Common Stock.</w:t>
      </w:r>
    </w:p>
    <w:p>
      <w:pPr>
        <w:ind w:left="340" w:right="40" w:hanging="332"/>
        <w:spacing w:after="0" w:line="225"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offering price per share has been estimated in accordance with Rule 457(c) under the Securities Act of 1933, as amended (the “Securities Act”), as to the 1,080,000 additional shares of Common Stock authorized for issuance pursuant to the 2000 Stock Incentive Plan, solely for the purpose of calculating the registration fee. No options have been granted with respect to such shares. The computation is based upon the average of the high and low price of the Common Stock as reported on the Nasdaq Global Market on April 24, 2008, because the price at which the options to be granted in the future may be exercised is not currently determinable.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1" w:name="page2"/>
    <w:bookmarkEnd w:id="1"/>
    <w:p>
      <w:pPr>
        <w:jc w:val="right"/>
        <w:ind w:right="35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3. Incorporation of Documents by Reference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8. Exhibits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Item 9. Undertakings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Opinion/Consent of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ectPr>
          <w:pgSz w:w="11900" w:h="16838" w:orient="portrait"/>
          <w:cols w:equalWidth="0" w:num="1">
            <w:col w:w="10219"/>
          </w:cols>
          <w:pgMar w:left="240" w:top="274" w:right="1440"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REGISTRATION STATEMENT ON FORM S-8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STATEMENT UNDER GENERAL INSTRUCTION E — REGISTRATION OF ADDITIONAL SECURITIES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Registration Statement on Form S-8 (this “Registration Statement”) is being filed for the purpose of registering an additional 1,080,000 shares of Active Power, Inc.’s (the “Registrant”) Common Stock to be issued pursuant to the Registrant’s 2000 Stock Incentive Plan (the “Plan”). The contents of (i) the Registrant’s Form S-8 Registration Statement filed with the Securities and Exchange Commission (the “Commission”) on July 23, 2007 (File No. 333-144782) relating to the Plan, (ii) the Registrant’s Form S-8 Registration Statement filed with the Commission on March 29, 2006 (File No. 333-132792) relating to the Plan, (iii) the Registrant’s Form S-8 Registration Statement filed with the Commission on March 25, 2005 (File No. 333-123587) relating to the Plan, (iv) the Registrant’s Form S-8 Registration Statement filed with the Commission on April 30, 2004 (File No. 333-115039) relating to the Plan, (v) the Registrant’s Form S-8 Registration Statement filed with the Commission on April 24, 2003 (File No. 333-104725) relating to the Plan, (vi) the Registrant’s Form S-8 Registration Statement filed with the Commission on February 23, 2001 (File No. 333-56122) relating to the Plan, and (vii) the Registrant’s Form S-8 Registration Statement filed with the Commission on August 8, 2000 (File No. 333-43248) relating to the Plan (collectively, the “Filed Form S-8s”), including periodic filings updating or amending the contents of the Filed Form S-8s, are incorporated by reference into this Registration Statement pursuant to General Instruction E of Form S-8. The reports the Registrant has most recently filed with the Commission are listed below in Part II, Item 3.</w:t>
      </w:r>
    </w:p>
    <w:p>
      <w:pPr>
        <w:spacing w:after="0" w:line="12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PART II</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INFORMATION REQUIRED IN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filed by the Registrant with the Commission are hereby incorporated by reference into this Registration Statement:</w:t>
      </w:r>
    </w:p>
    <w:p>
      <w:pPr>
        <w:spacing w:after="0" w:line="194" w:lineRule="exact"/>
        <w:rPr>
          <w:sz w:val="20"/>
          <w:szCs w:val="20"/>
          <w:color w:val="auto"/>
        </w:rPr>
      </w:pPr>
    </w:p>
    <w:p>
      <w:pPr>
        <w:ind w:firstLine="464"/>
        <w:spacing w:after="0" w:line="268"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2007, filed with the Commission on February 29, 2008 pursuant to Section 13 of the Securities Exchange Act of 1934, as amended (the “Exchange Act”);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Definitive Proxy Statement on Schedule 14A, filed with the Commission on April 14, 2008;</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period ended March 31, 2008, filed with the Commission on April 28, 2008;</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April 24, 2008;</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March 24, 2008;</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March 5, 2008;</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January 29, 2008;</w:t>
      </w:r>
    </w:p>
    <w:p>
      <w:pPr>
        <w:spacing w:after="0" w:line="17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June 30, 2000, in which the terms, rights and provisions applicable to the Registrant’s Common Stock are described; and</w:t>
      </w:r>
    </w:p>
    <w:p>
      <w:pPr>
        <w:spacing w:after="0" w:line="131" w:lineRule="exact"/>
        <w:rPr>
          <w:rFonts w:ascii="Arial" w:cs="Arial" w:eastAsia="Arial" w:hAnsi="Arial"/>
          <w:sz w:val="18"/>
          <w:szCs w:val="18"/>
          <w:color w:val="auto"/>
        </w:rPr>
      </w:pPr>
    </w:p>
    <w:p>
      <w:pPr>
        <w:ind w:right="40" w:firstLine="464"/>
        <w:spacing w:after="0" w:line="268" w:lineRule="auto"/>
        <w:tabs>
          <w:tab w:leader="none" w:pos="66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December 14, 2001, in which the terms, rights and provisions applicable to the Registrant’s Preferred Share Purchase Rights are described.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20"/>
          </w:cols>
          <w:pgMar w:left="240" w:top="280" w:right="339" w:bottom="1440" w:gutter="0" w:footer="0" w:header="0"/>
        </w:sectPr>
      </w:pPr>
    </w:p>
    <w:bookmarkStart w:id="3" w:name="page4"/>
    <w:bookmarkEnd w:id="3"/>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documents subsequently filed by the Registrant pursuant to Section 13(a), 13(c), 14 or 15(d) of the Exchange Act on or after the date of this Registration Statement and prior to the filing of a post-effective amendment, which indicates that all securities offered have been sold or which deregisters all securities then remaining unsold, shall be deemed to be incorporated by reference into this Registration Statement and to be part hereof from the date of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on the accompanying Index to Exhibits are filed as part hereof, or incorporated by reference into, this Registration Statement.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(a)The undersigned Registrant hereby undertakes:</w:t>
      </w:r>
    </w:p>
    <w:p>
      <w:pPr>
        <w:spacing w:after="0" w:line="171" w:lineRule="exact"/>
        <w:rPr>
          <w:sz w:val="20"/>
          <w:szCs w:val="20"/>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ind w:left="460" w:right="60" w:firstLine="443"/>
        <w:spacing w:after="0" w:line="291" w:lineRule="auto"/>
        <w:tabs>
          <w:tab w:leader="none" w:pos="1157"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left="460" w:right="560" w:firstLine="443"/>
        <w:spacing w:after="0" w:line="268" w:lineRule="auto"/>
        <w:tabs>
          <w:tab w:leader="none" w:pos="1205"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32" w:lineRule="exact"/>
        <w:rPr>
          <w:sz w:val="20"/>
          <w:szCs w:val="20"/>
          <w:color w:val="auto"/>
        </w:rPr>
      </w:pPr>
    </w:p>
    <w:p>
      <w:pPr>
        <w:ind w:left="460" w:right="180" w:firstLine="438"/>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140" w:lineRule="exact"/>
        <w:rPr>
          <w:sz w:val="20"/>
          <w:szCs w:val="20"/>
          <w:color w:val="auto"/>
        </w:rPr>
      </w:pPr>
    </w:p>
    <w:p>
      <w:pPr>
        <w:ind w:firstLine="464"/>
        <w:spacing w:after="0" w:line="370" w:lineRule="auto"/>
        <w:tabs>
          <w:tab w:leader="none" w:pos="705"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offering thereof.</w:t>
      </w:r>
    </w:p>
    <w:p>
      <w:pPr>
        <w:spacing w:after="0" w:line="62" w:lineRule="exact"/>
        <w:rPr>
          <w:rFonts w:ascii="Arial" w:cs="Arial" w:eastAsia="Arial" w:hAnsi="Arial"/>
          <w:sz w:val="15"/>
          <w:szCs w:val="15"/>
          <w:color w:val="auto"/>
        </w:rPr>
      </w:pPr>
    </w:p>
    <w:p>
      <w:pPr>
        <w:ind w:right="200"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2" w:lineRule="exact"/>
        <w:rPr>
          <w:sz w:val="20"/>
          <w:szCs w:val="20"/>
          <w:color w:val="auto"/>
        </w:rPr>
      </w:pPr>
    </w:p>
    <w:p>
      <w:pPr>
        <w:ind w:right="280" w:firstLine="464"/>
        <w:spacing w:after="0" w:line="306" w:lineRule="auto"/>
        <w:tabs>
          <w:tab w:leader="none" w:pos="70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280" w:right="259" w:bottom="1440" w:gutter="0" w:footer="0" w:header="0"/>
        </w:sectPr>
      </w:pPr>
    </w:p>
    <w:bookmarkStart w:id="4" w:name="page5"/>
    <w:bookmarkEnd w:id="4"/>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32" w:lineRule="exact"/>
        <w:rPr>
          <w:sz w:val="20"/>
          <w:szCs w:val="20"/>
          <w:color w:val="auto"/>
        </w:rPr>
      </w:pPr>
    </w:p>
    <w:p>
      <w:pPr>
        <w:ind w:firstLine="464"/>
        <w:spacing w:after="0" w:line="290" w:lineRule="auto"/>
        <w:tabs>
          <w:tab w:leader="none" w:pos="695"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280" w:right="27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Active Power, Inc., certifies that it has reasonable grounds to believe that it meets all of the requirements for filing on Form S-8 and has duly caused this Registration Statement to be signed on its behalf by the undersigned, thereunto duly authorized, in the City of Austin, State of Texas, on April 28, 2008.</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ACTIVE POWER,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80"/>
          </w:cols>
          <w:pgMar w:left="240" w:top="27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POWER OF ATTORNEY</w:t>
      </w:r>
    </w:p>
    <w:p>
      <w:pPr>
        <w:spacing w:after="0" w:line="1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James Clishem and John Penver, and each of them, his attorneys-in-fact, each with the power of substitution, for him and in his name, place and stead, in any and all capacities, to sign any and all amendments to this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such attorneys-in-fact and agents or any of them, or his or their substitute or substitutes, may lawfully do or cause to be done by virtue hereof.</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0" w:type="dxa"/>
            <w:vAlign w:val="bottom"/>
          </w:tcPr>
          <w:p>
            <w:pPr>
              <w:spacing w:after="0"/>
              <w:rPr>
                <w:sz w:val="15"/>
                <w:szCs w:val="15"/>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5"/>
                <w:szCs w:val="15"/>
                <w:color w:val="auto"/>
              </w:rPr>
            </w:pPr>
          </w:p>
        </w:tc>
        <w:tc>
          <w:tcPr>
            <w:tcW w:w="170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Date</w:t>
            </w:r>
          </w:p>
        </w:tc>
      </w:tr>
      <w:tr>
        <w:trPr>
          <w:trHeight w:val="424"/>
        </w:trPr>
        <w:tc>
          <w:tcPr>
            <w:tcW w:w="4240" w:type="dxa"/>
            <w:vAlign w:val="bottom"/>
            <w:tcBorders>
              <w:bottom w:val="single" w:sz="8" w:color="auto"/>
            </w:tcBorders>
          </w:tcPr>
          <w:p>
            <w:pPr>
              <w:jc w:val="center"/>
              <w:ind w:right="273"/>
              <w:spacing w:after="0"/>
              <w:rPr>
                <w:sz w:val="20"/>
                <w:szCs w:val="20"/>
                <w:color w:val="auto"/>
              </w:rPr>
            </w:pPr>
            <w:r>
              <w:rPr>
                <w:rFonts w:ascii="Arial" w:cs="Arial" w:eastAsia="Arial" w:hAnsi="Arial"/>
                <w:sz w:val="18"/>
                <w:szCs w:val="18"/>
                <w:color w:val="auto"/>
                <w:w w:val="87"/>
              </w:rPr>
              <w:t>/s/ James A. Clishem</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Chief Executive Officer, President and Director (Principal Executive</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April 28, 2008</w:t>
            </w:r>
          </w:p>
        </w:tc>
      </w:tr>
      <w:tr>
        <w:trPr>
          <w:trHeight w:val="218"/>
        </w:trPr>
        <w:tc>
          <w:tcPr>
            <w:tcW w:w="4240" w:type="dxa"/>
            <w:vAlign w:val="bottom"/>
          </w:tcPr>
          <w:p>
            <w:pPr>
              <w:jc w:val="center"/>
              <w:spacing w:after="0"/>
              <w:rPr>
                <w:sz w:val="20"/>
                <w:szCs w:val="20"/>
                <w:color w:val="auto"/>
              </w:rPr>
            </w:pPr>
            <w:r>
              <w:rPr>
                <w:rFonts w:ascii="Arial" w:cs="Arial" w:eastAsia="Arial" w:hAnsi="Arial"/>
                <w:sz w:val="18"/>
                <w:szCs w:val="18"/>
                <w:color w:val="auto"/>
                <w:w w:val="88"/>
              </w:rPr>
              <w:t>James A. Clishem</w:t>
            </w:r>
          </w:p>
        </w:tc>
        <w:tc>
          <w:tcPr>
            <w:tcW w:w="220" w:type="dxa"/>
            <w:vAlign w:val="bottom"/>
          </w:tcPr>
          <w:p>
            <w:pPr>
              <w:spacing w:after="0"/>
              <w:rPr>
                <w:sz w:val="18"/>
                <w:szCs w:val="18"/>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Officer)</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ind w:right="273"/>
              <w:spacing w:after="0"/>
              <w:rPr>
                <w:sz w:val="20"/>
                <w:szCs w:val="20"/>
                <w:color w:val="auto"/>
              </w:rPr>
            </w:pPr>
            <w:r>
              <w:rPr>
                <w:rFonts w:ascii="Arial" w:cs="Arial" w:eastAsia="Arial" w:hAnsi="Arial"/>
                <w:sz w:val="18"/>
                <w:szCs w:val="18"/>
                <w:color w:val="auto"/>
                <w:w w:val="86"/>
              </w:rPr>
              <w:t>/s/ John K. Penver</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4"/>
              </w:rPr>
              <w:t>Chief Financial Officer (Principal Financial and Accounting Officer)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April 28, 2008</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John K. Penver</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w w:val="92"/>
              </w:rPr>
              <w:t>/s/ Ake Almgren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April 28, 2008</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3"/>
              </w:rPr>
              <w:t>Ake Almgren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ind w:right="273"/>
              <w:spacing w:after="0"/>
              <w:rPr>
                <w:sz w:val="20"/>
                <w:szCs w:val="20"/>
                <w:color w:val="auto"/>
              </w:rPr>
            </w:pPr>
            <w:r>
              <w:rPr>
                <w:rFonts w:ascii="Arial" w:cs="Arial" w:eastAsia="Arial" w:hAnsi="Arial"/>
                <w:sz w:val="18"/>
                <w:szCs w:val="18"/>
                <w:color w:val="auto"/>
                <w:w w:val="88"/>
              </w:rPr>
              <w:t>/s/ Richard E. Anderson</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April 28, 2008</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9"/>
              </w:rPr>
              <w:t>Richard E. Anderson</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ind w:right="273"/>
              <w:spacing w:after="0"/>
              <w:rPr>
                <w:sz w:val="20"/>
                <w:szCs w:val="20"/>
                <w:color w:val="auto"/>
              </w:rPr>
            </w:pPr>
            <w:r>
              <w:rPr>
                <w:rFonts w:ascii="Arial" w:cs="Arial" w:eastAsia="Arial" w:hAnsi="Arial"/>
                <w:sz w:val="18"/>
                <w:szCs w:val="18"/>
                <w:color w:val="auto"/>
                <w:w w:val="87"/>
              </w:rPr>
              <w:t>/s/ Rodney S. Bond</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April 28, 2008</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Rodney S. Bond</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w w:val="90"/>
              </w:rPr>
              <w:t>/s/ Jan H. Lindelow</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April 28, 2008</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Jan H. Lindelow</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w w:val="90"/>
              </w:rPr>
              <w:t>/s/ Benjamin L. Scott</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April 28, 2008</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90"/>
              </w:rPr>
              <w:t>Benjamin L. Scott</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8"/>
        </w:trPr>
        <w:tc>
          <w:tcPr>
            <w:tcW w:w="4240" w:type="dxa"/>
            <w:vAlign w:val="bottom"/>
            <w:tcBorders>
              <w:bottom w:val="single" w:sz="8" w:color="auto"/>
            </w:tcBorders>
          </w:tcPr>
          <w:p>
            <w:pPr>
              <w:jc w:val="center"/>
              <w:ind w:right="253"/>
              <w:spacing w:after="0"/>
              <w:rPr>
                <w:sz w:val="20"/>
                <w:szCs w:val="20"/>
                <w:color w:val="auto"/>
              </w:rPr>
            </w:pPr>
            <w:r>
              <w:rPr>
                <w:rFonts w:ascii="Arial" w:cs="Arial" w:eastAsia="Arial" w:hAnsi="Arial"/>
                <w:sz w:val="18"/>
                <w:szCs w:val="18"/>
                <w:color w:val="auto"/>
                <w:w w:val="87"/>
              </w:rPr>
              <w:t>/s/ James E. deVenny III</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1940" w:type="dxa"/>
            <w:vAlign w:val="bottom"/>
            <w:gridSpan w:val="2"/>
          </w:tcPr>
          <w:p>
            <w:pPr>
              <w:ind w:left="240"/>
              <w:spacing w:after="0"/>
              <w:rPr>
                <w:sz w:val="20"/>
                <w:szCs w:val="20"/>
                <w:color w:val="auto"/>
              </w:rPr>
            </w:pPr>
            <w:r>
              <w:rPr>
                <w:rFonts w:ascii="Arial" w:cs="Arial" w:eastAsia="Arial" w:hAnsi="Arial"/>
                <w:sz w:val="18"/>
                <w:szCs w:val="18"/>
                <w:color w:val="auto"/>
              </w:rPr>
              <w:t>April 28, 2008</w:t>
            </w:r>
          </w:p>
        </w:tc>
      </w:tr>
      <w:tr>
        <w:trPr>
          <w:trHeight w:val="21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James E. deVenny III</w:t>
            </w:r>
          </w:p>
        </w:tc>
        <w:tc>
          <w:tcPr>
            <w:tcW w:w="2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60" w:type="dxa"/>
            <w:vAlign w:val="bottom"/>
          </w:tcPr>
          <w:p>
            <w:pPr>
              <w:jc w:val="center"/>
              <w:ind w:right="1077"/>
              <w:spacing w:after="0"/>
              <w:rPr>
                <w:sz w:val="20"/>
                <w:szCs w:val="20"/>
                <w:color w:val="auto"/>
              </w:rPr>
            </w:pPr>
            <w:r>
              <w:rPr>
                <w:rFonts w:ascii="Arial" w:cs="Arial" w:eastAsia="Arial" w:hAnsi="Arial"/>
                <w:sz w:val="18"/>
                <w:szCs w:val="18"/>
                <w:color w:val="auto"/>
                <w:w w:val="94"/>
              </w:rPr>
              <w:t>ACTIVE POWER, INC.</w:t>
            </w:r>
          </w:p>
        </w:tc>
      </w:tr>
      <w:tr>
        <w:trPr>
          <w:trHeight w:val="378"/>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Pr>
          <w:p>
            <w:pPr>
              <w:jc w:val="center"/>
              <w:ind w:right="1057"/>
              <w:spacing w:after="0"/>
              <w:rPr>
                <w:sz w:val="20"/>
                <w:szCs w:val="20"/>
                <w:color w:val="auto"/>
              </w:rPr>
            </w:pPr>
            <w:r>
              <w:rPr>
                <w:rFonts w:ascii="Arial" w:cs="Arial" w:eastAsia="Arial" w:hAnsi="Arial"/>
                <w:sz w:val="18"/>
                <w:szCs w:val="18"/>
                <w:color w:val="auto"/>
                <w:w w:val="92"/>
              </w:rPr>
              <w:t>REGISTRATION STATEMENT ON FORM S-8</w:t>
            </w:r>
          </w:p>
        </w:tc>
      </w:tr>
      <w:tr>
        <w:trPr>
          <w:trHeight w:val="378"/>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Pr>
          <w:p>
            <w:pPr>
              <w:jc w:val="center"/>
              <w:ind w:right="1077"/>
              <w:spacing w:after="0"/>
              <w:rPr>
                <w:sz w:val="20"/>
                <w:szCs w:val="20"/>
                <w:color w:val="auto"/>
              </w:rPr>
            </w:pPr>
            <w:r>
              <w:rPr>
                <w:rFonts w:ascii="Arial" w:cs="Arial" w:eastAsia="Arial" w:hAnsi="Arial"/>
                <w:sz w:val="18"/>
                <w:szCs w:val="18"/>
                <w:color w:val="auto"/>
                <w:w w:val="96"/>
              </w:rPr>
              <w:t>INDEX TO EXHIBITS</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6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3"/>
              </w:rPr>
              <w:t>Reference is made to Registrant’s Registration Statement No. 000-30939 on Form 8-A12G filed with the Commission on June 30, 2000 and</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3"/>
              </w:rPr>
              <w:t>Registration Statement No. 000-30939 on Form 8-A12G filed with the Commission on December 14, 2001 which are incorporated herein by</w:t>
            </w:r>
          </w:p>
        </w:tc>
      </w:tr>
      <w:tr>
        <w:trPr>
          <w:trHeight w:val="222"/>
        </w:trPr>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reference pursuant to Items 3(h) and (i).</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Opinion of counsel as to legality of securities being registered.</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23.3</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Consent of counsel (contained in Exhibit 5.1).</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Power of Attorney (see page II-6).</w:t>
            </w:r>
          </w:p>
        </w:tc>
      </w:tr>
      <w:tr>
        <w:trPr>
          <w:trHeight w:val="110"/>
        </w:trPr>
        <w:tc>
          <w:tcPr>
            <w:tcW w:w="4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60" w:type="dxa"/>
            <w:vAlign w:val="bottom"/>
          </w:tcPr>
          <w:p>
            <w:pPr>
              <w:spacing w:after="0"/>
              <w:rPr>
                <w:sz w:val="9"/>
                <w:szCs w:val="9"/>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280"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28,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Lane,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78758</w:t>
      </w:r>
    </w:p>
    <w:p>
      <w:pPr>
        <w:spacing w:after="0" w:line="19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5"/>
          <w:szCs w:val="15"/>
          <w:b w:val="1"/>
          <w:bCs w:val="1"/>
          <w:u w:val="single" w:color="auto"/>
          <w:color w:val="auto"/>
        </w:rPr>
        <w:t>Registration Statement on Form S-8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examined the registration statement on Form S-8 to be filed by you with the Securities and Exchange Commission on or about April 28, 2008 (the “Registration Statement”) in connection with the registration under the Securities Act of 1933, as amended, of 1,080,000 shares of your Common Stock (the “Shares”) reserved for issuance under the 2000 Stock Incentive Plan (the “Plan”). As your legal counsel, we have examined the proceedings taken and proposed to be taken in connection with the issuance, sale and payment of consideration for the Shares to be issued under the Plan.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It is our opinion that, when issued and sold in compliance with the applicable prospectus delivery requirements and in the manner referred to in the Plan and pursuant to the agreements that accompany the Plan, and upon completion of the actions being taken or proposed to be taken to permit such transactions to be carried out in accordance with the securities laws of the various states where required, the Shares, when issued and sold in the manner described under the Plan and the agreements that accompany the Plan, will be legally and validly issued, fully paid and non-assessable.</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including any Prospectus constituting a part thereof, and any amendments thereto.</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Professional Corporation</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Wilson Sonsini Goodrich &amp; Rosati</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2000 Stock Incentive Plan of Active Power, Inc. of our reports dated February 29, 2008, with respect to the consolidated financial statements of Active Power, Inc. included in its Annual Report (Form 10-K) for the year ended December 31, 2007, and the effectiveness of internal control over financial reporting of Active Power, Inc. filed with the Securities and Exchange Commission.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Austin, TX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25,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lvl w:ilvl="1">
      <w:lvlJc w:val="left"/>
      <w:lvlText w:val="(%2)"/>
      <w:numFmt w:val="lowerRoman"/>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2019-12-11T15:15:20Z</dcterms:created>
  <dcterms:modified xsi:type="dcterms:W3CDTF">2019-12-11T15:15:20Z</dcterms:modified>
</cp:coreProperties>
</file>