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Jairath Sarita Narson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P10,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09/16/2024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See Remarks</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75205</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61,413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09/16/2024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61,413</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61,413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16, 2024, the reporting person was granted a total of 61,413 RSUs. One third (1/3) of the total number of RSUs granted vest on each of the first three anniversaries of the grant date, provided that the reporting person remains in continuous service with the Issuer through the applicable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Executive Vice President &amp; Global Head of Client Solutions</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4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Sarita</w:t>
      </w:r>
      <w:r>
        <w:rPr>
          <w:sz w:val="20"/>
          <w:szCs w:val="20"/>
          <w:color w:val="auto"/>
        </w:rPr>
        <w:tab/>
      </w:r>
      <w:r>
        <w:rPr>
          <w:rFonts w:ascii="Times New Roman" w:cs="Times New Roman" w:eastAsia="Times New Roman" w:hAnsi="Times New Roman"/>
          <w:sz w:val="16"/>
          <w:szCs w:val="16"/>
          <w:color w:val="0000FF"/>
        </w:rPr>
        <w:t>09/26/2024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Narson Jairath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1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18490"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9140"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2024-09-26T20:45:25Z</dcterms:created>
  <dcterms:modified xsi:type="dcterms:W3CDTF">2024-09-26T20:45:25Z</dcterms:modified>
</cp:coreProperties>
</file>