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5040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50405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3"/>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780" w:type="dxa"/>
            <w:vAlign w:val="bottom"/>
            <w:gridSpan w:val="2"/>
            <w:vMerge w:val="restart"/>
          </w:tcPr>
          <w:p>
            <w:pPr>
              <w:spacing w:after="0" w:line="256" w:lineRule="exact"/>
              <w:rPr>
                <w:rFonts w:ascii="Arial" w:cs="Arial" w:eastAsia="Arial" w:hAnsi="Arial"/>
                <w:sz w:val="24"/>
                <w:szCs w:val="24"/>
                <w:color w:val="0000EE"/>
              </w:rPr>
            </w:pPr>
            <w:hyperlink r:id="rId10">
              <w:r>
                <w:rPr>
                  <w:rFonts w:ascii="Arial" w:cs="Arial" w:eastAsia="Arial" w:hAnsi="Arial"/>
                  <w:sz w:val="24"/>
                  <w:szCs w:val="24"/>
                  <w:color w:val="0000EE"/>
                </w:rPr>
                <w:t>Gwilliam Scott L.</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7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720" w:type="dxa"/>
            <w:vAlign w:val="bottom"/>
            <w:tcBorders>
              <w:top w:val="single" w:sz="8" w:color="0000EE"/>
              <w:bottom w:val="single" w:sz="8" w:color="9A9A9A"/>
            </w:tcBorders>
          </w:tcPr>
          <w:p>
            <w:pPr>
              <w:spacing w:after="0"/>
              <w:rPr>
                <w:sz w:val="17"/>
                <w:szCs w:val="17"/>
                <w:color w:val="auto"/>
              </w:rPr>
            </w:pPr>
          </w:p>
        </w:tc>
        <w:tc>
          <w:tcPr>
            <w:tcW w:w="106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10/20/2021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9" w:lineRule="exact"/>
        <w:rPr>
          <w:sz w:val="24"/>
          <w:szCs w:val="24"/>
          <w:color w:val="auto"/>
        </w:rPr>
      </w:pPr>
    </w:p>
    <w:p>
      <w:pPr>
        <w:spacing w:after="0"/>
        <w:rPr>
          <w:rFonts w:ascii="Arial" w:cs="Arial" w:eastAsia="Arial" w:hAnsi="Arial"/>
          <w:sz w:val="24"/>
          <w:szCs w:val="24"/>
          <w:color w:val="0000EE"/>
        </w:rPr>
      </w:pPr>
      <w:hyperlink r:id="rId11">
        <w:r>
          <w:rPr>
            <w:rFonts w:ascii="Arial" w:cs="Arial" w:eastAsia="Arial" w:hAnsi="Arial"/>
            <w:sz w:val="24"/>
            <w:szCs w:val="24"/>
            <w:u w:val="single" w:color="auto"/>
            <w:color w:val="0000EE"/>
          </w:rPr>
          <w:t>P10, Inc.</w:t>
        </w:r>
        <w:r>
          <w:rPr>
            <w:rFonts w:ascii="Arial" w:cs="Arial" w:eastAsia="Arial" w:hAnsi="Arial"/>
            <w:sz w:val="24"/>
            <w:szCs w:val="24"/>
            <w:color w:val="0000EE"/>
          </w:rPr>
          <w:t xml:space="preserve"> </w:t>
        </w:r>
      </w:hyperlink>
      <w:r>
        <w:rPr>
          <w:rFonts w:ascii="Arial" w:cs="Arial" w:eastAsia="Arial" w:hAnsi="Arial"/>
          <w:sz w:val="24"/>
          <w:szCs w:val="24"/>
          <w:color w:val="000000"/>
        </w:rPr>
        <w:t>[</w:t>
      </w:r>
      <w:r>
        <w:rPr>
          <w:rFonts w:ascii="Arial" w:cs="Arial" w:eastAsia="Arial" w:hAnsi="Arial"/>
          <w:sz w:val="24"/>
          <w:szCs w:val="24"/>
          <w:color w:val="0000EE"/>
        </w:rPr>
        <w:t xml:space="preserve"> </w:t>
      </w:r>
      <w:r>
        <w:rPr>
          <w:rFonts w:ascii="Arial" w:cs="Arial" w:eastAsia="Arial" w:hAnsi="Arial"/>
          <w:sz w:val="19"/>
          <w:szCs w:val="19"/>
          <w:color w:val="0000FF"/>
        </w:rPr>
        <w:t>PX</w:t>
      </w:r>
      <w:r>
        <w:rPr>
          <w:rFonts w:ascii="Arial" w:cs="Arial" w:eastAsia="Arial" w:hAnsi="Arial"/>
          <w:sz w:val="24"/>
          <w:szCs w:val="24"/>
          <w:color w:val="0000EE"/>
        </w:rPr>
        <w:t xml:space="preserve"> </w:t>
      </w:r>
      <w:r>
        <w:rPr>
          <w:rFonts w:ascii="Arial" w:cs="Arial" w:eastAsia="Arial" w:hAnsi="Arial"/>
          <w:sz w:val="24"/>
          <w:szCs w:val="24"/>
          <w:color w:val="000000"/>
        </w:rPr>
        <w:t>]</w:t>
      </w:r>
    </w:p>
    <w:p>
      <w:pPr>
        <w:spacing w:after="0" w:line="342"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spacing w:after="0" w:line="105"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940" w:type="dxa"/>
            <w:vAlign w:val="bottom"/>
          </w:tcPr>
          <w:p>
            <w:pPr>
              <w:ind w:left="40"/>
              <w:spacing w:after="0"/>
              <w:rPr>
                <w:sz w:val="20"/>
                <w:szCs w:val="20"/>
                <w:color w:val="auto"/>
              </w:rPr>
            </w:pPr>
            <w:r>
              <w:rPr>
                <w:rFonts w:ascii="Arial" w:cs="Arial" w:eastAsia="Arial" w:hAnsi="Arial"/>
                <w:sz w:val="15"/>
                <w:szCs w:val="15"/>
                <w:color w:val="auto"/>
              </w:rPr>
              <w:t>(Last)</w:t>
            </w:r>
          </w:p>
        </w:tc>
        <w:tc>
          <w:tcPr>
            <w:tcW w:w="820" w:type="dxa"/>
            <w:vAlign w:val="bottom"/>
          </w:tcPr>
          <w:p>
            <w:pPr>
              <w:ind w:left="120"/>
              <w:spacing w:after="0"/>
              <w:rPr>
                <w:sz w:val="20"/>
                <w:szCs w:val="20"/>
                <w:color w:val="auto"/>
              </w:rPr>
            </w:pPr>
            <w:r>
              <w:rPr>
                <w:rFonts w:ascii="Arial" w:cs="Arial" w:eastAsia="Arial" w:hAnsi="Arial"/>
                <w:sz w:val="15"/>
                <w:szCs w:val="15"/>
                <w:color w:val="auto"/>
              </w:rPr>
              <w:t>(First)</w:t>
            </w:r>
          </w:p>
        </w:tc>
        <w:tc>
          <w:tcPr>
            <w:tcW w:w="1340" w:type="dxa"/>
            <w:vAlign w:val="bottom"/>
          </w:tcPr>
          <w:p>
            <w:pPr>
              <w:ind w:left="340"/>
              <w:spacing w:after="0"/>
              <w:rPr>
                <w:sz w:val="20"/>
                <w:szCs w:val="20"/>
                <w:color w:val="auto"/>
              </w:rPr>
            </w:pPr>
            <w:r>
              <w:rPr>
                <w:rFonts w:ascii="Arial" w:cs="Arial" w:eastAsia="Arial" w:hAnsi="Arial"/>
                <w:sz w:val="15"/>
                <w:szCs w:val="15"/>
                <w:color w:val="auto"/>
              </w:rPr>
              <w:t>(Middle)</w:t>
            </w:r>
          </w:p>
        </w:tc>
      </w:tr>
      <w:tr>
        <w:trPr>
          <w:trHeight w:val="314"/>
        </w:trPr>
        <w:tc>
          <w:tcPr>
            <w:tcW w:w="1760" w:type="dxa"/>
            <w:vAlign w:val="bottom"/>
            <w:gridSpan w:val="2"/>
          </w:tcPr>
          <w:p>
            <w:pPr>
              <w:ind w:left="40"/>
              <w:spacing w:after="0"/>
              <w:rPr>
                <w:sz w:val="20"/>
                <w:szCs w:val="20"/>
                <w:color w:val="auto"/>
              </w:rPr>
            </w:pPr>
            <w:r>
              <w:rPr>
                <w:rFonts w:ascii="Arial" w:cs="Arial" w:eastAsia="Arial" w:hAnsi="Arial"/>
                <w:sz w:val="20"/>
                <w:szCs w:val="20"/>
                <w:color w:val="0000FF"/>
              </w:rPr>
              <w:t>C/O P10, INC.</w:t>
            </w:r>
          </w:p>
        </w:tc>
        <w:tc>
          <w:tcPr>
            <w:tcW w:w="1340" w:type="dxa"/>
            <w:vAlign w:val="bottom"/>
          </w:tcPr>
          <w:p>
            <w:pPr>
              <w:spacing w:after="0"/>
              <w:rPr>
                <w:sz w:val="24"/>
                <w:szCs w:val="24"/>
                <w:color w:val="auto"/>
              </w:rPr>
            </w:pPr>
          </w:p>
        </w:tc>
      </w:tr>
      <w:tr>
        <w:trPr>
          <w:trHeight w:val="300"/>
        </w:trPr>
        <w:tc>
          <w:tcPr>
            <w:tcW w:w="3100" w:type="dxa"/>
            <w:vAlign w:val="bottom"/>
            <w:gridSpan w:val="3"/>
          </w:tcPr>
          <w:p>
            <w:pPr>
              <w:ind w:left="40"/>
              <w:spacing w:after="0"/>
              <w:rPr>
                <w:sz w:val="20"/>
                <w:szCs w:val="20"/>
                <w:color w:val="auto"/>
              </w:rPr>
            </w:pPr>
            <w:r>
              <w:rPr>
                <w:rFonts w:ascii="Arial" w:cs="Arial" w:eastAsia="Arial" w:hAnsi="Arial"/>
                <w:sz w:val="20"/>
                <w:szCs w:val="20"/>
                <w:color w:val="0000FF"/>
                <w:w w:val="97"/>
              </w:rPr>
              <w:t>4514 COLE AVENUE, SUITE 1600</w:t>
            </w:r>
          </w:p>
        </w:tc>
      </w:tr>
      <w:tr>
        <w:trPr>
          <w:trHeight w:val="177"/>
        </w:trPr>
        <w:tc>
          <w:tcPr>
            <w:tcW w:w="94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r>
      <w:tr>
        <w:trPr>
          <w:trHeight w:val="299"/>
        </w:trPr>
        <w:tc>
          <w:tcPr>
            <w:tcW w:w="940" w:type="dxa"/>
            <w:vAlign w:val="bottom"/>
          </w:tcPr>
          <w:p>
            <w:pPr>
              <w:spacing w:after="0"/>
              <w:rPr>
                <w:sz w:val="20"/>
                <w:szCs w:val="20"/>
                <w:color w:val="auto"/>
              </w:rPr>
            </w:pPr>
            <w:r>
              <w:rPr>
                <w:rFonts w:ascii="Arial" w:cs="Arial" w:eastAsia="Arial" w:hAnsi="Arial"/>
                <w:sz w:val="15"/>
                <w:szCs w:val="15"/>
                <w:color w:val="auto"/>
              </w:rPr>
              <w:t>(Street)</w:t>
            </w:r>
          </w:p>
        </w:tc>
        <w:tc>
          <w:tcPr>
            <w:tcW w:w="8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69"/>
        </w:trPr>
        <w:tc>
          <w:tcPr>
            <w:tcW w:w="940" w:type="dxa"/>
            <w:vAlign w:val="bottom"/>
          </w:tcPr>
          <w:p>
            <w:pPr>
              <w:ind w:left="40"/>
              <w:spacing w:after="0"/>
              <w:rPr>
                <w:sz w:val="20"/>
                <w:szCs w:val="20"/>
                <w:color w:val="auto"/>
              </w:rPr>
            </w:pPr>
            <w:r>
              <w:rPr>
                <w:rFonts w:ascii="Arial" w:cs="Arial" w:eastAsia="Arial" w:hAnsi="Arial"/>
                <w:sz w:val="20"/>
                <w:szCs w:val="20"/>
                <w:color w:val="0000FF"/>
              </w:rPr>
              <w:t>DALLAS</w:t>
            </w:r>
          </w:p>
        </w:tc>
        <w:tc>
          <w:tcPr>
            <w:tcW w:w="820" w:type="dxa"/>
            <w:vAlign w:val="bottom"/>
          </w:tcPr>
          <w:p>
            <w:pPr>
              <w:ind w:left="120"/>
              <w:spacing w:after="0"/>
              <w:rPr>
                <w:sz w:val="20"/>
                <w:szCs w:val="20"/>
                <w:color w:val="auto"/>
              </w:rPr>
            </w:pPr>
            <w:r>
              <w:rPr>
                <w:rFonts w:ascii="Arial" w:cs="Arial" w:eastAsia="Arial" w:hAnsi="Arial"/>
                <w:sz w:val="20"/>
                <w:szCs w:val="20"/>
                <w:color w:val="0000FF"/>
              </w:rPr>
              <w:t>TX</w:t>
            </w:r>
          </w:p>
        </w:tc>
        <w:tc>
          <w:tcPr>
            <w:tcW w:w="1340" w:type="dxa"/>
            <w:vAlign w:val="bottom"/>
          </w:tcPr>
          <w:p>
            <w:pPr>
              <w:ind w:left="340"/>
              <w:spacing w:after="0"/>
              <w:rPr>
                <w:sz w:val="20"/>
                <w:szCs w:val="20"/>
                <w:color w:val="auto"/>
              </w:rPr>
            </w:pPr>
            <w:r>
              <w:rPr>
                <w:rFonts w:ascii="Arial" w:cs="Arial" w:eastAsia="Arial" w:hAnsi="Arial"/>
                <w:sz w:val="20"/>
                <w:szCs w:val="20"/>
                <w:color w:val="0000FF"/>
              </w:rPr>
              <w:t>75205</w:t>
            </w: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ind w:left="183"/>
        <w:spacing w:after="0"/>
        <w:tabs>
          <w:tab w:leader="none" w:pos="502" w:val="left"/>
          <w:tab w:leader="none" w:pos="2042" w:val="left"/>
        </w:tabs>
        <w:rPr>
          <w:sz w:val="20"/>
          <w:szCs w:val="20"/>
          <w:color w:val="auto"/>
        </w:rPr>
      </w:pPr>
      <w:r>
        <w:rPr>
          <w:rFonts w:ascii="Arial" w:cs="Arial" w:eastAsia="Arial" w:hAnsi="Arial"/>
          <w:sz w:val="20"/>
          <w:szCs w:val="20"/>
          <w:color w:val="0000FF"/>
        </w:rPr>
        <w:t>X</w:t>
      </w:r>
      <w:r>
        <w:rPr>
          <w:sz w:val="20"/>
          <w:szCs w:val="20"/>
          <w:color w:val="auto"/>
        </w:rPr>
        <w:tab/>
      </w: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122"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01"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6" w:right="479" w:bottom="1440" w:gutter="0" w:footer="0" w:header="0"/>
          <w:type w:val="continuous"/>
        </w:sectPr>
      </w:pPr>
    </w:p>
    <w:p>
      <w:pPr>
        <w:spacing w:after="0" w:line="72"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198"/>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56"/>
        </w:trPr>
        <w:tc>
          <w:tcPr>
            <w:tcW w:w="3420" w:type="dxa"/>
            <w:vAlign w:val="bottom"/>
            <w:tcBorders>
              <w:bottom w:val="single" w:sz="8" w:color="2C2C2C"/>
            </w:tcBorders>
          </w:tcPr>
          <w:p>
            <w:pPr>
              <w:spacing w:after="0"/>
              <w:rPr>
                <w:sz w:val="4"/>
                <w:szCs w:val="4"/>
                <w:color w:val="auto"/>
              </w:rPr>
            </w:pPr>
          </w:p>
        </w:tc>
        <w:tc>
          <w:tcPr>
            <w:tcW w:w="34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2860" w:type="dxa"/>
            <w:vAlign w:val="bottom"/>
            <w:tcBorders>
              <w:bottom w:val="single" w:sz="8" w:color="2C2C2C"/>
            </w:tcBorders>
          </w:tcPr>
          <w:p>
            <w:pPr>
              <w:spacing w:after="0"/>
              <w:rPr>
                <w:sz w:val="4"/>
                <w:szCs w:val="4"/>
                <w:color w:val="auto"/>
              </w:rPr>
            </w:pPr>
          </w:p>
        </w:tc>
      </w:tr>
    </w:tbl>
    <w:p>
      <w:pPr>
        <w:spacing w:after="0" w:line="50" w:lineRule="exact"/>
        <w:rPr>
          <w:sz w:val="24"/>
          <w:szCs w:val="24"/>
          <w:color w:val="auto"/>
        </w:rPr>
      </w:pPr>
    </w:p>
    <w:tbl>
      <w:tblPr>
        <w:tblLayout w:type="fixed"/>
        <w:tblInd w:w="0" w:type="dxa"/>
        <w:tblCellMar>
          <w:top w:w="0" w:type="dxa"/>
          <w:left w:w="0" w:type="dxa"/>
          <w:bottom w:w="0" w:type="dxa"/>
          <w:right w:w="0" w:type="dxa"/>
        </w:tblCellMar>
      </w:tblPr>
      <w:tr>
        <w:trPr>
          <w:trHeight w:val="365"/>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Arial" w:cs="Arial" w:eastAsia="Arial" w:hAnsi="Arial"/>
                <w:sz w:val="20"/>
                <w:szCs w:val="20"/>
                <w:color w:val="0000FF"/>
              </w:rPr>
              <w:t>Class A Common Stock</w:t>
            </w:r>
            <w:r>
              <w:rPr>
                <w:rFonts w:ascii="Arial" w:cs="Arial" w:eastAsia="Arial" w:hAnsi="Arial"/>
                <w:sz w:val="25"/>
                <w:szCs w:val="25"/>
                <w:color w:val="008000"/>
                <w:vertAlign w:val="superscript"/>
              </w:rPr>
              <w:t>(1)</w:t>
            </w:r>
          </w:p>
        </w:tc>
        <w:tc>
          <w:tcPr>
            <w:tcW w:w="3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tcPr>
          <w:p>
            <w:pPr>
              <w:ind w:left="540"/>
              <w:spacing w:after="0"/>
              <w:rPr>
                <w:sz w:val="20"/>
                <w:szCs w:val="20"/>
                <w:color w:val="auto"/>
              </w:rPr>
            </w:pPr>
            <w:r>
              <w:rPr>
                <w:rFonts w:ascii="Arial" w:cs="Arial" w:eastAsia="Arial" w:hAnsi="Arial"/>
                <w:sz w:val="20"/>
                <w:szCs w:val="20"/>
                <w:color w:val="0000FF"/>
              </w:rPr>
              <w:t>9,451</w:t>
            </w:r>
            <w:r>
              <w:rPr>
                <w:rFonts w:ascii="Arial" w:cs="Arial" w:eastAsia="Arial" w:hAnsi="Arial"/>
                <w:sz w:val="25"/>
                <w:szCs w:val="25"/>
                <w:color w:val="008000"/>
                <w:vertAlign w:val="superscript"/>
              </w:rPr>
              <w:t>(2)</w:t>
            </w:r>
          </w:p>
        </w:tc>
        <w:tc>
          <w:tcPr>
            <w:tcW w:w="1060" w:type="dxa"/>
            <w:vAlign w:val="bottom"/>
            <w:tcBorders>
              <w:bottom w:val="single" w:sz="8" w:color="2C2C2C"/>
            </w:tcBorders>
            <w:gridSpan w:val="2"/>
          </w:tcPr>
          <w:p>
            <w:pPr>
              <w:ind w:left="900"/>
              <w:spacing w:after="0"/>
              <w:rPr>
                <w:sz w:val="20"/>
                <w:szCs w:val="20"/>
                <w:color w:val="auto"/>
              </w:rPr>
            </w:pPr>
            <w:r>
              <w:rPr>
                <w:rFonts w:ascii="Arial" w:cs="Arial" w:eastAsia="Arial" w:hAnsi="Arial"/>
                <w:sz w:val="20"/>
                <w:szCs w:val="20"/>
                <w:color w:val="0000FF"/>
                <w:w w:val="96"/>
              </w:rPr>
              <w:t>D</w:t>
            </w:r>
          </w:p>
        </w:tc>
        <w:tc>
          <w:tcPr>
            <w:tcW w:w="92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360" w:type="dxa"/>
            <w:vAlign w:val="bottom"/>
            <w:tcBorders>
              <w:top w:val="single" w:sz="8" w:color="2C2C2C"/>
            </w:tcBorders>
            <w:gridSpan w:val="6"/>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572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7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2"/>
          </w:tcPr>
          <w:p>
            <w:pPr>
              <w:spacing w:after="0"/>
              <w:rPr>
                <w:sz w:val="4"/>
                <w:szCs w:val="4"/>
                <w:color w:val="auto"/>
              </w:rPr>
            </w:pPr>
          </w:p>
        </w:tc>
        <w:tc>
          <w:tcPr>
            <w:tcW w:w="25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7"/>
                <w:szCs w:val="17"/>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6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2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6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0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0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2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760" w:type="dxa"/>
            <w:vAlign w:val="bottom"/>
          </w:tcPr>
          <w:p>
            <w:pPr>
              <w:spacing w:after="0"/>
              <w:rPr>
                <w:sz w:val="4"/>
                <w:szCs w:val="4"/>
                <w:color w:val="auto"/>
              </w:rPr>
            </w:pPr>
          </w:p>
        </w:tc>
        <w:tc>
          <w:tcPr>
            <w:tcW w:w="36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060" w:type="dxa"/>
            <w:vAlign w:val="bottom"/>
            <w:gridSpan w:val="2"/>
            <w:vMerge w:val="restart"/>
          </w:tcPr>
          <w:p>
            <w:pPr>
              <w:ind w:left="360"/>
              <w:spacing w:after="0"/>
              <w:rPr>
                <w:sz w:val="20"/>
                <w:szCs w:val="20"/>
                <w:color w:val="auto"/>
              </w:rPr>
            </w:pPr>
            <w:r>
              <w:rPr>
                <w:rFonts w:ascii="Arial" w:cs="Arial" w:eastAsia="Arial" w:hAnsi="Arial"/>
                <w:sz w:val="15"/>
                <w:szCs w:val="15"/>
                <w:b w:val="1"/>
                <w:bCs w:val="1"/>
                <w:color w:val="auto"/>
              </w:rPr>
              <w:t>Amount</w:t>
            </w:r>
          </w:p>
        </w:tc>
        <w:tc>
          <w:tcPr>
            <w:tcW w:w="92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48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60" w:type="dxa"/>
            <w:vAlign w:val="bottom"/>
            <w:gridSpan w:val="2"/>
            <w:vMerge w:val="continue"/>
          </w:tcPr>
          <w:p>
            <w:pPr>
              <w:spacing w:after="0"/>
              <w:rPr>
                <w:sz w:val="13"/>
                <w:szCs w:val="13"/>
                <w:color w:val="auto"/>
              </w:rPr>
            </w:pPr>
          </w:p>
        </w:tc>
        <w:tc>
          <w:tcPr>
            <w:tcW w:w="920" w:type="dxa"/>
            <w:vAlign w:val="bottom"/>
          </w:tcPr>
          <w:p>
            <w:pPr>
              <w:ind w:left="2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60" w:type="dxa"/>
            <w:vAlign w:val="bottom"/>
            <w:gridSpan w:val="2"/>
          </w:tcPr>
          <w:p>
            <w:pPr>
              <w:ind w:left="360"/>
              <w:spacing w:after="0" w:line="165" w:lineRule="exact"/>
              <w:rPr>
                <w:sz w:val="20"/>
                <w:szCs w:val="20"/>
                <w:color w:val="auto"/>
              </w:rPr>
            </w:pPr>
            <w:r>
              <w:rPr>
                <w:rFonts w:ascii="Arial" w:cs="Arial" w:eastAsia="Arial" w:hAnsi="Arial"/>
                <w:sz w:val="15"/>
                <w:szCs w:val="15"/>
                <w:b w:val="1"/>
                <w:bCs w:val="1"/>
                <w:color w:val="auto"/>
              </w:rPr>
              <w:t>or</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60" w:type="dxa"/>
            <w:vAlign w:val="bottom"/>
            <w:gridSpan w:val="2"/>
          </w:tcPr>
          <w:p>
            <w:pPr>
              <w:ind w:left="360"/>
              <w:spacing w:after="0" w:line="161" w:lineRule="exact"/>
              <w:rPr>
                <w:sz w:val="20"/>
                <w:szCs w:val="20"/>
                <w:color w:val="auto"/>
              </w:rPr>
            </w:pPr>
            <w:r>
              <w:rPr>
                <w:rFonts w:ascii="Arial" w:cs="Arial" w:eastAsia="Arial" w:hAnsi="Arial"/>
                <w:sz w:val="15"/>
                <w:szCs w:val="15"/>
                <w:b w:val="1"/>
                <w:bCs w:val="1"/>
                <w:color w:val="auto"/>
              </w:rPr>
              <w:t>Number</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00" w:type="dxa"/>
            <w:vAlign w:val="bottom"/>
          </w:tcPr>
          <w:p>
            <w:pPr>
              <w:spacing w:after="0"/>
              <w:rPr>
                <w:sz w:val="14"/>
                <w:szCs w:val="14"/>
                <w:color w:val="auto"/>
              </w:rPr>
            </w:pPr>
          </w:p>
        </w:tc>
        <w:tc>
          <w:tcPr>
            <w:tcW w:w="1060" w:type="dxa"/>
            <w:vAlign w:val="bottom"/>
            <w:gridSpan w:val="2"/>
          </w:tcPr>
          <w:p>
            <w:pPr>
              <w:ind w:left="360"/>
              <w:spacing w:after="0" w:line="165" w:lineRule="exact"/>
              <w:rPr>
                <w:sz w:val="20"/>
                <w:szCs w:val="20"/>
                <w:color w:val="auto"/>
              </w:rPr>
            </w:pPr>
            <w:r>
              <w:rPr>
                <w:rFonts w:ascii="Arial" w:cs="Arial" w:eastAsia="Arial" w:hAnsi="Arial"/>
                <w:sz w:val="15"/>
                <w:szCs w:val="15"/>
                <w:b w:val="1"/>
                <w:bCs w:val="1"/>
                <w:color w:val="auto"/>
              </w:rPr>
              <w:t>of</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0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060" w:type="dxa"/>
            <w:vAlign w:val="bottom"/>
            <w:gridSpan w:val="2"/>
          </w:tcPr>
          <w:p>
            <w:pPr>
              <w:ind w:left="360"/>
              <w:spacing w:after="0"/>
              <w:rPr>
                <w:sz w:val="20"/>
                <w:szCs w:val="20"/>
                <w:color w:val="auto"/>
              </w:rPr>
            </w:pPr>
            <w:r>
              <w:rPr>
                <w:rFonts w:ascii="Arial" w:cs="Arial" w:eastAsia="Arial" w:hAnsi="Arial"/>
                <w:sz w:val="15"/>
                <w:szCs w:val="15"/>
                <w:b w:val="1"/>
                <w:bCs w:val="1"/>
                <w:color w:val="auto"/>
              </w:rPr>
              <w:t>Shares</w:t>
            </w:r>
          </w:p>
        </w:tc>
        <w:tc>
          <w:tcPr>
            <w:tcW w:w="9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02"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61" w:lineRule="exact"/>
        <w:rPr>
          <w:sz w:val="24"/>
          <w:szCs w:val="24"/>
          <w:color w:val="auto"/>
        </w:rPr>
      </w:pPr>
    </w:p>
    <w:p>
      <w:pPr>
        <w:ind w:left="40" w:right="340" w:firstLine="5"/>
        <w:spacing w:after="0" w:line="253" w:lineRule="auto"/>
        <w:tabs>
          <w:tab w:leader="none" w:pos="19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The Reporting Person disclaims beneficial ownership of the securities of the Issuer reported herein, except to the extent of his pecuniary interest therein, and the filing of this Form 3 shall not be construed as an admission that the Reporting Person is the beneficial owner of the securities of the Issuer reported herein.</w:t>
      </w:r>
    </w:p>
    <w:p>
      <w:pPr>
        <w:spacing w:after="0" w:line="26" w:lineRule="exact"/>
        <w:rPr>
          <w:rFonts w:ascii="Arial" w:cs="Arial" w:eastAsia="Arial" w:hAnsi="Arial"/>
          <w:sz w:val="15"/>
          <w:szCs w:val="15"/>
          <w:color w:val="008000"/>
        </w:rPr>
      </w:pPr>
    </w:p>
    <w:p>
      <w:pPr>
        <w:ind w:left="40" w:right="80" w:firstLine="5"/>
        <w:spacing w:after="0" w:line="253" w:lineRule="auto"/>
        <w:tabs>
          <w:tab w:leader="none" w:pos="19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Represents shares of restricted stock awarded to the Reporting Person. These shares vest on October 7, 2022, subject to the Reporting Person's continuous service or employment with the Issuer.</w:t>
      </w:r>
    </w:p>
    <w:p>
      <w:pPr>
        <w:spacing w:after="0" w:line="17"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4"/>
          <w:szCs w:val="24"/>
          <w:color w:val="auto"/>
        </w:rPr>
      </w:pPr>
    </w:p>
    <w:p>
      <w:pPr>
        <w:ind w:left="40"/>
        <w:spacing w:after="0"/>
        <w:rPr>
          <w:sz w:val="20"/>
          <w:szCs w:val="20"/>
          <w:color w:val="auto"/>
        </w:rPr>
      </w:pPr>
      <w:r>
        <w:rPr>
          <w:rFonts w:ascii="Arial" w:cs="Arial" w:eastAsia="Arial" w:hAnsi="Arial"/>
          <w:sz w:val="15"/>
          <w:szCs w:val="15"/>
          <w:color w:val="008000"/>
        </w:rPr>
        <w:t>Exhibit 24 - Power of Attorney</w:t>
      </w:r>
    </w:p>
    <w:p>
      <w:pPr>
        <w:spacing w:after="0" w:line="58"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420" w:type="dxa"/>
            <w:vAlign w:val="bottom"/>
            <w:tcBorders>
              <w:bottom w:val="single" w:sz="8" w:color="auto"/>
            </w:tcBorders>
          </w:tcPr>
          <w:p>
            <w:pPr>
              <w:spacing w:after="0"/>
              <w:rPr>
                <w:sz w:val="20"/>
                <w:szCs w:val="20"/>
                <w:color w:val="auto"/>
              </w:rPr>
            </w:pPr>
            <w:r>
              <w:rPr>
                <w:rFonts w:ascii="Arial" w:cs="Arial" w:eastAsia="Arial" w:hAnsi="Arial"/>
                <w:sz w:val="20"/>
                <w:szCs w:val="20"/>
                <w:color w:val="0000FF"/>
                <w:w w:val="91"/>
              </w:rPr>
              <w:t>/s/ Scott Gwilliam</w:t>
            </w:r>
          </w:p>
        </w:tc>
        <w:tc>
          <w:tcPr>
            <w:tcW w:w="760" w:type="dxa"/>
            <w:vAlign w:val="bottom"/>
          </w:tcPr>
          <w:p>
            <w:pPr>
              <w:spacing w:after="0"/>
              <w:rPr>
                <w:sz w:val="19"/>
                <w:szCs w:val="19"/>
                <w:color w:val="auto"/>
              </w:rPr>
            </w:pPr>
          </w:p>
        </w:tc>
        <w:tc>
          <w:tcPr>
            <w:tcW w:w="900" w:type="dxa"/>
            <w:vAlign w:val="bottom"/>
            <w:tcBorders>
              <w:bottom w:val="single" w:sz="8" w:color="auto"/>
            </w:tcBorders>
          </w:tcPr>
          <w:p>
            <w:pPr>
              <w:spacing w:after="0"/>
              <w:rPr>
                <w:sz w:val="20"/>
                <w:szCs w:val="20"/>
                <w:color w:val="auto"/>
              </w:rPr>
            </w:pPr>
            <w:r>
              <w:rPr>
                <w:rFonts w:ascii="Arial" w:cs="Arial" w:eastAsia="Arial" w:hAnsi="Arial"/>
                <w:sz w:val="20"/>
                <w:szCs w:val="20"/>
                <w:color w:val="0000FF"/>
                <w:w w:val="87"/>
              </w:rPr>
              <w:t>10/20/2021</w:t>
            </w:r>
          </w:p>
        </w:tc>
        <w:tc>
          <w:tcPr>
            <w:tcW w:w="0" w:type="dxa"/>
            <w:vAlign w:val="bottom"/>
          </w:tcPr>
          <w:p>
            <w:pPr>
              <w:spacing w:after="0"/>
              <w:rPr>
                <w:sz w:val="1"/>
                <w:szCs w:val="1"/>
                <w:color w:val="auto"/>
              </w:rPr>
            </w:pPr>
          </w:p>
        </w:tc>
      </w:tr>
      <w:tr>
        <w:trPr>
          <w:trHeight w:val="249"/>
        </w:trPr>
        <w:tc>
          <w:tcPr>
            <w:tcW w:w="6540" w:type="dxa"/>
            <w:vAlign w:val="bottom"/>
          </w:tcPr>
          <w:p>
            <w:pPr>
              <w:spacing w:after="0"/>
              <w:rPr>
                <w:sz w:val="21"/>
                <w:szCs w:val="21"/>
                <w:color w:val="auto"/>
              </w:rPr>
            </w:pPr>
          </w:p>
        </w:tc>
        <w:tc>
          <w:tcPr>
            <w:tcW w:w="2180" w:type="dxa"/>
            <w:vAlign w:val="bottom"/>
            <w:gridSpan w:val="2"/>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2"/>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2"/>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jc w:val="right"/>
        <w:spacing w:after="0"/>
        <w:rPr>
          <w:sz w:val="20"/>
          <w:szCs w:val="20"/>
          <w:color w:val="auto"/>
        </w:rPr>
      </w:pPr>
      <w:r>
        <w:rPr>
          <w:rFonts w:ascii="Arial" w:cs="Arial" w:eastAsia="Arial" w:hAnsi="Arial"/>
          <w:sz w:val="20"/>
          <w:szCs w:val="20"/>
          <w:color w:val="auto"/>
        </w:rPr>
        <w:t>Exhibit 24</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POWER OF ATTORNEY</w:t>
      </w:r>
    </w:p>
    <w:p>
      <w:pPr>
        <w:spacing w:after="0" w:line="254" w:lineRule="exact"/>
        <w:rPr>
          <w:sz w:val="20"/>
          <w:szCs w:val="20"/>
          <w:color w:val="auto"/>
        </w:rPr>
      </w:pPr>
    </w:p>
    <w:p>
      <w:pPr>
        <w:ind w:right="160" w:firstLine="720"/>
        <w:spacing w:after="0" w:line="264" w:lineRule="auto"/>
        <w:rPr>
          <w:sz w:val="20"/>
          <w:szCs w:val="20"/>
          <w:color w:val="auto"/>
        </w:rPr>
      </w:pPr>
      <w:r>
        <w:rPr>
          <w:rFonts w:ascii="Arial" w:cs="Arial" w:eastAsia="Arial" w:hAnsi="Arial"/>
          <w:sz w:val="20"/>
          <w:szCs w:val="20"/>
          <w:color w:val="auto"/>
        </w:rPr>
        <w:t>Know all by these presents, that, for good and valuable consideration, the sufficiency and receipt of which are hereby acknowledged, the undersigned hereby constitutes and appoints each of Robert Alpert, C. Clark Webb and Amanda Coussens, and any of their substitutes, signing singly, the undersigned’s true and lawful attorney-in-fact to:</w:t>
      </w:r>
    </w:p>
    <w:p>
      <w:pPr>
        <w:spacing w:after="0" w:line="202" w:lineRule="exact"/>
        <w:rPr>
          <w:sz w:val="20"/>
          <w:szCs w:val="20"/>
          <w:color w:val="auto"/>
        </w:rPr>
      </w:pPr>
    </w:p>
    <w:p>
      <w:pPr>
        <w:ind w:left="720" w:right="60" w:firstLine="721"/>
        <w:spacing w:after="0" w:line="297" w:lineRule="auto"/>
        <w:tabs>
          <w:tab w:leader="none" w:pos="2024" w:val="left"/>
        </w:tabs>
        <w:numPr>
          <w:ilvl w:val="0"/>
          <w:numId w:val="6"/>
        </w:numPr>
        <w:rPr>
          <w:rFonts w:ascii="Arial" w:cs="Arial" w:eastAsia="Arial" w:hAnsi="Arial"/>
          <w:sz w:val="18"/>
          <w:szCs w:val="18"/>
          <w:color w:val="auto"/>
        </w:rPr>
      </w:pPr>
      <w:r>
        <w:rPr>
          <w:rFonts w:ascii="Arial" w:cs="Arial" w:eastAsia="Arial" w:hAnsi="Arial"/>
          <w:sz w:val="18"/>
          <w:szCs w:val="18"/>
          <w:color w:val="auto"/>
        </w:rPr>
        <w:t>execute for and on behalf of the undersigned (in accordance with Section 16(a) of the Securities Exchange Act of 1934, as amended, and the rules thereunder (the “Exchange Act”)), in the undersigned’s capacity as an officer and/or director of P10, Inc., a Delaware corporation (the “Company”), any and all Forms 3, 4 and/or 5, and any amendments thereto, that are necessary or advisable for the undersigned to file under Section 16(a) (collectively, “Documents”);</w:t>
      </w:r>
    </w:p>
    <w:p>
      <w:pPr>
        <w:spacing w:after="0" w:line="175" w:lineRule="exact"/>
        <w:rPr>
          <w:rFonts w:ascii="Arial" w:cs="Arial" w:eastAsia="Arial" w:hAnsi="Arial"/>
          <w:sz w:val="18"/>
          <w:szCs w:val="18"/>
          <w:color w:val="auto"/>
        </w:rPr>
      </w:pPr>
    </w:p>
    <w:p>
      <w:pPr>
        <w:ind w:left="720" w:right="340" w:firstLine="721"/>
        <w:spacing w:after="0" w:line="264" w:lineRule="auto"/>
        <w:tabs>
          <w:tab w:leader="none" w:pos="2024" w:val="left"/>
        </w:tabs>
        <w:numPr>
          <w:ilvl w:val="0"/>
          <w:numId w:val="6"/>
        </w:numPr>
        <w:rPr>
          <w:rFonts w:ascii="Arial" w:cs="Arial" w:eastAsia="Arial" w:hAnsi="Arial"/>
          <w:sz w:val="20"/>
          <w:szCs w:val="20"/>
          <w:color w:val="auto"/>
        </w:rPr>
      </w:pPr>
      <w:r>
        <w:rPr>
          <w:rFonts w:ascii="Arial" w:cs="Arial" w:eastAsia="Arial" w:hAnsi="Arial"/>
          <w:sz w:val="20"/>
          <w:szCs w:val="20"/>
          <w:color w:val="auto"/>
        </w:rPr>
        <w:t>do and perform any and all acts for and on behalf of the undersigned that may be necessary or desirable to complete and execute any such Documents and timely file such Documents with the United States Securities and Exchange Commission and any stock exchange or similar authority; and</w:t>
      </w:r>
    </w:p>
    <w:p>
      <w:pPr>
        <w:spacing w:after="0" w:line="201" w:lineRule="exact"/>
        <w:rPr>
          <w:rFonts w:ascii="Arial" w:cs="Arial" w:eastAsia="Arial" w:hAnsi="Arial"/>
          <w:sz w:val="20"/>
          <w:szCs w:val="20"/>
          <w:color w:val="auto"/>
        </w:rPr>
      </w:pPr>
    </w:p>
    <w:p>
      <w:pPr>
        <w:ind w:left="720" w:right="20" w:firstLine="721"/>
        <w:spacing w:after="0" w:line="297" w:lineRule="auto"/>
        <w:tabs>
          <w:tab w:leader="none" w:pos="2024" w:val="left"/>
        </w:tabs>
        <w:numPr>
          <w:ilvl w:val="0"/>
          <w:numId w:val="6"/>
        </w:numPr>
        <w:rPr>
          <w:rFonts w:ascii="Arial" w:cs="Arial" w:eastAsia="Arial" w:hAnsi="Arial"/>
          <w:sz w:val="18"/>
          <w:szCs w:val="18"/>
          <w:color w:val="auto"/>
        </w:rPr>
      </w:pPr>
      <w:r>
        <w:rPr>
          <w:rFonts w:ascii="Arial" w:cs="Arial" w:eastAsia="Arial" w:hAnsi="Arial"/>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76" w:lineRule="exact"/>
        <w:rPr>
          <w:sz w:val="20"/>
          <w:szCs w:val="20"/>
          <w:color w:val="auto"/>
        </w:rPr>
      </w:pPr>
    </w:p>
    <w:p>
      <w:pPr>
        <w:ind w:right="20" w:firstLine="720"/>
        <w:spacing w:after="0" w:line="285" w:lineRule="auto"/>
        <w:rPr>
          <w:sz w:val="20"/>
          <w:szCs w:val="20"/>
          <w:color w:val="auto"/>
        </w:rPr>
      </w:pPr>
      <w:r>
        <w:rPr>
          <w:rFonts w:ascii="Arial" w:cs="Arial" w:eastAsia="Arial" w:hAnsi="Arial"/>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each such attorney-in-fact (or such attorney-in-fact’s substitute or substitutes) shall lawfully do or cause to be done by virtue of this power of attorney and the rights and powers herein granted. The undersigned acknowledges that each attorney-in-fact, in serving in such capacity at the request of the undersigned, is not assuming, nor is such attorney-in-fact’s substitute or substitutes or the Company assuming, any of the undersigned’s responsibilities to comply with the Exchange Act. The undersigned agrees to defend and hold harmless each attorney-in-fact (and such attorney-in-fact’s substitute or substitutes) from and against any and all loss, damage or liability that such attorney-in-fact may sustain as a result of any action taken in good faith hereunder.</w:t>
      </w:r>
    </w:p>
    <w:p>
      <w:pPr>
        <w:spacing w:after="0" w:line="189" w:lineRule="exact"/>
        <w:rPr>
          <w:sz w:val="20"/>
          <w:szCs w:val="20"/>
          <w:color w:val="auto"/>
        </w:rPr>
      </w:pPr>
    </w:p>
    <w:p>
      <w:pPr>
        <w:jc w:val="both"/>
        <w:ind w:right="60" w:firstLine="720"/>
        <w:spacing w:after="0" w:line="264" w:lineRule="auto"/>
        <w:rPr>
          <w:sz w:val="20"/>
          <w:szCs w:val="20"/>
          <w:color w:val="auto"/>
        </w:rPr>
      </w:pPr>
      <w:r>
        <w:rPr>
          <w:rFonts w:ascii="Arial" w:cs="Arial" w:eastAsia="Arial" w:hAnsi="Arial"/>
          <w:sz w:val="20"/>
          <w:szCs w:val="20"/>
          <w:color w:val="auto"/>
        </w:rPr>
        <w:t>This Power of Attorney shall remain in full force and effect until the undersigned is no longer required to file Documents with respect to the undersigned’s holdings of and transactions in securities issued by the Company, unless earlier revoked by the undersigned in a signed writing delivered to each of the foregoing attorneys-in-fact.</w:t>
      </w:r>
    </w:p>
    <w:p>
      <w:pPr>
        <w:spacing w:after="0" w:line="198" w:lineRule="exact"/>
        <w:rPr>
          <w:sz w:val="20"/>
          <w:szCs w:val="20"/>
          <w:color w:val="auto"/>
        </w:rPr>
      </w:pPr>
    </w:p>
    <w:p>
      <w:pPr>
        <w:ind w:left="720"/>
        <w:spacing w:after="0"/>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the undersigned has caused this Power of Attorney to be executed as of this 20th day of October,</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2021.</w:t>
      </w:r>
    </w:p>
    <w:p>
      <w:pPr>
        <w:spacing w:after="0" w:line="234" w:lineRule="exact"/>
        <w:rPr>
          <w:sz w:val="20"/>
          <w:szCs w:val="20"/>
          <w:color w:val="auto"/>
        </w:rPr>
      </w:pPr>
    </w:p>
    <w:p>
      <w:pPr>
        <w:ind w:left="5580"/>
        <w:spacing w:after="0"/>
        <w:rPr>
          <w:sz w:val="20"/>
          <w:szCs w:val="20"/>
          <w:color w:val="auto"/>
        </w:rPr>
      </w:pPr>
      <w:r>
        <w:rPr>
          <w:rFonts w:ascii="Arial" w:cs="Arial" w:eastAsia="Arial" w:hAnsi="Arial"/>
          <w:sz w:val="20"/>
          <w:szCs w:val="20"/>
          <w:color w:val="auto"/>
        </w:rPr>
        <w:t>/s/ Scott Gwilliam</w:t>
      </w:r>
    </w:p>
    <w:p>
      <w:pPr>
        <w:spacing w:after="0" w:line="26" w:lineRule="exact"/>
        <w:rPr>
          <w:sz w:val="20"/>
          <w:szCs w:val="20"/>
          <w:color w:val="auto"/>
        </w:rPr>
      </w:pPr>
    </w:p>
    <w:p>
      <w:pPr>
        <w:ind w:left="5580"/>
        <w:spacing w:after="0"/>
        <w:rPr>
          <w:sz w:val="20"/>
          <w:szCs w:val="20"/>
          <w:color w:val="auto"/>
        </w:rPr>
      </w:pPr>
      <w:r>
        <w:rPr>
          <w:rFonts w:ascii="Arial" w:cs="Arial" w:eastAsia="Arial" w:hAnsi="Arial"/>
          <w:sz w:val="20"/>
          <w:szCs w:val="20"/>
          <w:color w:val="auto"/>
        </w:rPr>
        <w:t>SCOTT GWILLIAM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3545205</wp:posOffset>
            </wp:positionH>
            <wp:positionV relativeFrom="paragraph">
              <wp:posOffset>-145415</wp:posOffset>
            </wp:positionV>
            <wp:extent cx="3335020"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3335020" cy="9525"/>
                    </a:xfrm>
                    <a:prstGeom prst="rect">
                      <a:avLst/>
                    </a:prstGeom>
                    <a:noFill/>
                  </pic:spPr>
                </pic:pic>
              </a:graphicData>
            </a:graphic>
          </wp:anchor>
        </w:drawing>
      </w:r>
    </w:p>
    <w:sectPr>
      <w:pgSz w:w="11900" w:h="16838" w:orient="portrait"/>
      <w:cols w:equalWidth="0" w:num="1">
        <w:col w:w="10940"/>
      </w:cols>
      <w:pgMar w:left="480" w:top="123"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0" Type="http://schemas.openxmlformats.org/officeDocument/2006/relationships/hyperlink" Target="http://www.sec.gov/cgi-bin/browse-edgar?action=getcompany&amp;CIK=0001889691" TargetMode="External"/><Relationship Id="rId11" Type="http://schemas.openxmlformats.org/officeDocument/2006/relationships/hyperlink" Target="http://www.sec.gov/cgi-bin/browse-edgar?action=getcompany&amp;CIK=00018419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2021-10-21T16:34:24Z</dcterms:created>
  <dcterms:modified xsi:type="dcterms:W3CDTF">2021-10-21T16:34:24Z</dcterms:modified>
</cp:coreProperties>
</file>