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0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09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Jairath Sarita Narson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31,115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31,115</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31,115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9,120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02/14/2025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31,115 RSUs, all of which will vest on the first anniversary of the grant date, provided that the reporting person remains in continuous service with the Issuer through such date.</w:t>
      </w:r>
    </w:p>
    <w:p>
      <w:pPr>
        <w:spacing w:after="0" w:line="16"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9,120 RSUs, all of which will vest on the first anniversary of the grant date, provided that the reporting person remains in continuous service with the Issuer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&amp; Global Head of Client Solutions</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Sarita</w:t>
      </w:r>
      <w:r>
        <w:rPr>
          <w:sz w:val="20"/>
          <w:szCs w:val="20"/>
          <w:color w:val="auto"/>
        </w:rPr>
        <w:tab/>
      </w:r>
      <w:r>
        <w:rPr>
          <w:rFonts w:ascii="Times New Roman" w:cs="Times New Roman" w:eastAsia="Times New Roman" w:hAnsi="Times New Roman"/>
          <w:sz w:val="16"/>
          <w:szCs w:val="16"/>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Narson Jairath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1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140"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2025-02-19T17:44:57Z</dcterms:created>
  <dcterms:modified xsi:type="dcterms:W3CDTF">2025-02-19T17:44:57Z</dcterms:modified>
</cp:coreProperties>
</file>