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259" w:firstLine="1"/>
        <w:spacing w:after="0" w:line="547" w:lineRule="auto"/>
        <w:tabs>
          <w:tab w:leader="none" w:pos="158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00504W100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Sound Energy Partners, Inc.</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540" w:right="767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7,518,288</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7,518,288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7,518,288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12.45%</w:t>
      </w:r>
    </w:p>
    <w:p>
      <w:pPr>
        <w:spacing w:after="0" w:line="11"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 IA</w:t>
      </w:r>
    </w:p>
    <w:p>
      <w:pPr>
        <w:sectPr>
          <w:pgSz w:w="11900" w:h="16838" w:orient="portrait"/>
          <w:cols w:equalWidth="0" w:num="1">
            <w:col w:w="10219"/>
          </w:cols>
          <w:pgMar w:left="240" w:top="339" w:right="1440" w:bottom="144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717"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11525 STONEHOLLOW DR</w:t>
      </w:r>
    </w:p>
    <w:p>
      <w:pPr>
        <w:ind w:left="1280"/>
        <w:spacing w:after="0" w:line="238" w:lineRule="auto"/>
        <w:rPr>
          <w:sz w:val="20"/>
          <w:szCs w:val="20"/>
          <w:color w:val="auto"/>
        </w:rPr>
      </w:pPr>
      <w:r>
        <w:rPr>
          <w:rFonts w:ascii="Courier New" w:cs="Courier New" w:eastAsia="Courier New" w:hAnsi="Courier New"/>
          <w:sz w:val="18"/>
          <w:szCs w:val="18"/>
          <w:color w:val="auto"/>
        </w:rPr>
        <w:t>STE 110</w:t>
      </w:r>
    </w:p>
    <w:p>
      <w:pPr>
        <w:ind w:left="1280"/>
        <w:spacing w:after="0"/>
        <w:rPr>
          <w:sz w:val="20"/>
          <w:szCs w:val="20"/>
          <w:color w:val="auto"/>
        </w:rPr>
      </w:pPr>
      <w:r>
        <w:rPr>
          <w:rFonts w:ascii="Courier New" w:cs="Courier New" w:eastAsia="Courier New" w:hAnsi="Courier New"/>
          <w:sz w:val="18"/>
          <w:szCs w:val="18"/>
          <w:color w:val="auto"/>
        </w:rPr>
        <w:t>AUSTIN TX 78758</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Sound Energy Partners,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354 Pequot Avenue</w:t>
      </w:r>
    </w:p>
    <w:p>
      <w:pPr>
        <w:ind w:left="1280"/>
        <w:spacing w:after="0" w:line="238" w:lineRule="auto"/>
        <w:rPr>
          <w:sz w:val="20"/>
          <w:szCs w:val="20"/>
          <w:color w:val="auto"/>
        </w:rPr>
      </w:pPr>
      <w:r>
        <w:rPr>
          <w:rFonts w:ascii="Courier New" w:cs="Courier New" w:eastAsia="Courier New" w:hAnsi="Courier New"/>
          <w:sz w:val="18"/>
          <w:szCs w:val="18"/>
          <w:color w:val="auto"/>
        </w:rPr>
        <w:t>Southport, Connecticut 06890</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Common Stock, par value $0.001 per share --------------------------------------------------------------------</w:t>
      </w:r>
    </w:p>
    <w:p>
      <w:pPr>
        <w:sectPr>
          <w:pgSz w:w="11900" w:h="16838" w:orient="portrait"/>
          <w:cols w:equalWidth="0" w:num="1">
            <w:col w:w="10219"/>
          </w:cols>
          <w:pgMar w:left="240" w:top="717"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1980" w:val="left"/>
          <w:tab w:leader="none" w:pos="3020" w:val="left"/>
          <w:tab w:leader="none" w:pos="4400" w:val="left"/>
        </w:tabs>
        <w:rPr>
          <w:sz w:val="20"/>
          <w:szCs w:val="20"/>
          <w:color w:val="auto"/>
        </w:rPr>
      </w:pPr>
      <w:r>
        <w:rPr>
          <w:rFonts w:ascii="Courier New" w:cs="Courier New" w:eastAsia="Courier New" w:hAnsi="Courier New"/>
          <w:sz w:val="18"/>
          <w:szCs w:val="18"/>
          <w:color w:val="auto"/>
        </w:rPr>
        <w:t>If This Statement</w:t>
        <w:tab/>
        <w:t>is Filed</w:t>
        <w:tab/>
        <w:t>Pursuant to</w:t>
      </w:r>
      <w:r>
        <w:rPr>
          <w:sz w:val="20"/>
          <w:szCs w:val="20"/>
          <w:color w:val="auto"/>
        </w:rPr>
        <w:tab/>
      </w:r>
      <w:r>
        <w:rPr>
          <w:rFonts w:ascii="Courier New" w:cs="Courier New" w:eastAsia="Courier New" w:hAnsi="Courier New"/>
          <w:sz w:val="16"/>
          <w:szCs w:val="16"/>
          <w:color w:val="auto"/>
        </w:rPr>
        <w:t>Rule 13d-1(b), or 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7"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7,518,288</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12.45%</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jc w:val="right"/>
        <w:ind w:right="1779"/>
        <w:spacing w:after="0"/>
        <w:tabs>
          <w:tab w:leader="none" w:pos="6720" w:val="left"/>
          <w:tab w:leader="none" w:pos="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1779"/>
        <w:spacing w:after="0"/>
        <w:tabs>
          <w:tab w:leader="none" w:pos="6720" w:val="left"/>
          <w:tab w:leader="none" w:pos="940" w:val="left"/>
        </w:tabs>
        <w:rPr>
          <w:sz w:val="20"/>
          <w:szCs w:val="20"/>
          <w:color w:val="auto"/>
        </w:rPr>
      </w:pPr>
      <w:r>
        <w:rPr>
          <w:rFonts w:ascii="Courier New" w:cs="Courier New" w:eastAsia="Courier New" w:hAnsi="Courier New"/>
          <w:sz w:val="18"/>
          <w:szCs w:val="18"/>
          <w:color w:val="auto"/>
        </w:rPr>
        <w:t>(ii)</w:t>
        <w:tab/>
        <w:t>Shared power to vote or to direct the vote</w:t>
      </w:r>
      <w:r>
        <w:rPr>
          <w:sz w:val="20"/>
          <w:szCs w:val="20"/>
          <w:color w:val="auto"/>
        </w:rPr>
        <w:tab/>
      </w:r>
      <w:r>
        <w:rPr>
          <w:rFonts w:ascii="Courier New" w:cs="Courier New" w:eastAsia="Courier New" w:hAnsi="Courier New"/>
          <w:sz w:val="16"/>
          <w:szCs w:val="16"/>
          <w:color w:val="auto"/>
        </w:rPr>
        <w:t>7,518,288</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1779"/>
        <w:spacing w:after="0"/>
        <w:tabs>
          <w:tab w:leader="none" w:pos="80" w:val="left"/>
        </w:tabs>
        <w:rPr>
          <w:sz w:val="20"/>
          <w:szCs w:val="20"/>
          <w:color w:val="auto"/>
        </w:rPr>
      </w:pPr>
      <w:r>
        <w:rPr>
          <w:rFonts w:ascii="Courier New" w:cs="Courier New" w:eastAsia="Courier New" w:hAnsi="Courier New"/>
          <w:sz w:val="18"/>
          <w:szCs w:val="18"/>
          <w:color w:val="auto"/>
        </w:rPr>
        <w:t>(iii) Sole power to dispose or to direct the</w:t>
      </w:r>
      <w:r>
        <w:rPr>
          <w:sz w:val="20"/>
          <w:szCs w:val="20"/>
          <w:color w:val="auto"/>
        </w:rPr>
        <w:tab/>
      </w:r>
      <w:r>
        <w:rPr>
          <w:rFonts w:ascii="Courier New" w:cs="Courier New" w:eastAsia="Courier New" w:hAnsi="Courier New"/>
          <w:sz w:val="16"/>
          <w:szCs w:val="16"/>
          <w:color w:val="auto"/>
        </w:rPr>
        <w:t>0</w:t>
      </w:r>
    </w:p>
    <w:p>
      <w:pPr>
        <w:jc w:val="right"/>
        <w:ind w:right="1779"/>
        <w:spacing w:after="0"/>
        <w:tabs>
          <w:tab w:leader="none" w:pos="25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Shared power to dispose or to direct the</w:t>
      </w:r>
    </w:p>
    <w:p>
      <w:pPr>
        <w:ind w:left="1700"/>
        <w:spacing w:after="0" w:line="238" w:lineRule="auto"/>
        <w:rPr>
          <w:sz w:val="20"/>
          <w:szCs w:val="20"/>
          <w:color w:val="auto"/>
        </w:rPr>
      </w:pPr>
      <w:r>
        <w:rPr>
          <w:rFonts w:ascii="Courier New" w:cs="Courier New" w:eastAsia="Courier New" w:hAnsi="Courier New"/>
          <w:sz w:val="18"/>
          <w:szCs w:val="18"/>
          <w:color w:val="auto"/>
        </w:rPr>
        <w:t>disposition of</w:t>
      </w:r>
    </w:p>
    <w:p>
      <w:pPr>
        <w:jc w:val="right"/>
        <w:ind w:right="1779"/>
        <w:spacing w:after="0"/>
        <w:rPr>
          <w:sz w:val="20"/>
          <w:szCs w:val="20"/>
          <w:color w:val="auto"/>
        </w:rPr>
      </w:pPr>
      <w:r>
        <w:rPr>
          <w:rFonts w:ascii="Courier New" w:cs="Courier New" w:eastAsia="Courier New" w:hAnsi="Courier New"/>
          <w:sz w:val="18"/>
          <w:szCs w:val="18"/>
          <w:color w:val="auto"/>
        </w:rPr>
        <w:t>7,518,288</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Reporting Person specifically disclaims beneficial ownership in the securities reported herein except to the extent of its pecuniary interest therein.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23" w:right="1440" w:bottom="0" w:gutter="0" w:footer="0" w:header="0"/>
        </w:sectPr>
      </w:pPr>
    </w:p>
    <w:bookmarkStart w:id="4" w:name="page5"/>
    <w:bookmarkEnd w:id="4"/>
    <w:p>
      <w:pPr>
        <w:ind w:left="10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jc w:val="both"/>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 an exhibit stating the identity and Item 3 classification of each member of the group. If a group has filed this schedule pursuant to s.240.13d-1(c) or s.240.13d-1(d), attach an exhibit stating the identity of each member of the group.</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 ENERGY PARTNERS,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Slavko Negulic</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2008</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SK 22214 0001 854557</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upperLetter"/>
      <w:start w:val="24"/>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1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2019-12-14T17:57:57Z</dcterms:created>
  <dcterms:modified xsi:type="dcterms:W3CDTF">2019-12-14T17:57:57Z</dcterms:modified>
</cp:coreProperties>
</file>