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90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905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Schrader-Hausmann Uwe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880"/>
        <w:spacing w:after="0" w:line="337" w:lineRule="auto"/>
        <w:rPr>
          <w:sz w:val="20"/>
          <w:szCs w:val="20"/>
          <w:color w:val="auto"/>
        </w:rPr>
      </w:pPr>
      <w:r>
        <w:rPr>
          <w:rFonts w:ascii="Arial" w:cs="Arial" w:eastAsia="Arial" w:hAnsi="Arial"/>
          <w:sz w:val="16"/>
          <w:szCs w:val="16"/>
          <w:color w:val="0000FF"/>
        </w:rPr>
        <w:t>C/O ACTIVE POWER, INC. 2128 W. BRAKER LANE, BK12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02/17/2012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Chief Technical Officer</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7"/>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spacing w:after="0"/>
              <w:rPr>
                <w:sz w:val="20"/>
                <w:szCs w:val="20"/>
                <w:color w:val="auto"/>
              </w:rPr>
            </w:pPr>
            <w:r>
              <w:rPr>
                <w:rFonts w:ascii="Arial" w:cs="Arial" w:eastAsia="Arial" w:hAnsi="Arial"/>
                <w:sz w:val="17"/>
                <w:szCs w:val="17"/>
                <w:color w:val="0000FF"/>
              </w:rPr>
              <w:t>AUSTIN</w:t>
            </w:r>
          </w:p>
        </w:tc>
        <w:tc>
          <w:tcPr>
            <w:tcW w:w="1840" w:type="dxa"/>
            <w:vAlign w:val="bottom"/>
            <w:gridSpan w:val="2"/>
            <w:vMerge w:val="restart"/>
          </w:tcPr>
          <w:p>
            <w:pPr>
              <w:ind w:left="620"/>
              <w:spacing w:after="0"/>
              <w:rPr>
                <w:sz w:val="20"/>
                <w:szCs w:val="20"/>
                <w:color w:val="auto"/>
              </w:rPr>
            </w:pPr>
            <w:r>
              <w:rPr>
                <w:rFonts w:ascii="Arial" w:cs="Arial" w:eastAsia="Arial" w:hAnsi="Arial"/>
                <w:sz w:val="17"/>
                <w:szCs w:val="17"/>
                <w:color w:val="0000FF"/>
              </w:rPr>
              <w:t>TX</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78758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45,000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ind w:right="197"/>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0.8</w:t>
            </w:r>
          </w:p>
        </w:tc>
        <w:tc>
          <w:tcPr>
            <w:tcW w:w="1080" w:type="dxa"/>
            <w:vAlign w:val="bottom"/>
          </w:tcPr>
          <w:p>
            <w:pPr>
              <w:jc w:val="right"/>
              <w:ind w:right="133"/>
              <w:spacing w:after="0" w:line="132" w:lineRule="exact"/>
              <w:rPr>
                <w:sz w:val="20"/>
                <w:szCs w:val="20"/>
                <w:color w:val="auto"/>
              </w:rPr>
            </w:pPr>
            <w:r>
              <w:rPr>
                <w:rFonts w:ascii="Arial" w:cs="Arial" w:eastAsia="Arial" w:hAnsi="Arial"/>
                <w:sz w:val="13"/>
                <w:szCs w:val="13"/>
                <w:color w:val="0000FF"/>
              </w:rPr>
              <w:t>02/17/2012</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45,000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jc w:val="right"/>
              <w:ind w:right="21"/>
              <w:spacing w:after="0" w:line="132" w:lineRule="exact"/>
              <w:rPr>
                <w:sz w:val="20"/>
                <w:szCs w:val="20"/>
                <w:color w:val="auto"/>
              </w:rPr>
            </w:pPr>
            <w:r>
              <w:rPr>
                <w:rFonts w:ascii="Arial" w:cs="Arial" w:eastAsia="Arial" w:hAnsi="Arial"/>
                <w:sz w:val="13"/>
                <w:szCs w:val="13"/>
                <w:color w:val="0000FF"/>
                <w:w w:val="98"/>
              </w:rPr>
              <w:t>02/17/2022</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45,000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right"/>
              <w:ind w:right="257"/>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80" w:type="dxa"/>
            <w:vAlign w:val="bottom"/>
            <w:vMerge w:val="restart"/>
          </w:tcPr>
          <w:p>
            <w:pPr>
              <w:jc w:val="right"/>
              <w:ind w:right="261"/>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45,000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1"/>
                <w:szCs w:val="11"/>
                <w:color w:val="auto"/>
              </w:rPr>
            </w:pPr>
          </w:p>
        </w:tc>
        <w:tc>
          <w:tcPr>
            <w:tcW w:w="1080" w:type="dxa"/>
            <w:vAlign w:val="bottom"/>
          </w:tcPr>
          <w:p>
            <w:pPr>
              <w:jc w:val="right"/>
              <w:ind w:right="133"/>
              <w:spacing w:after="0" w:line="132" w:lineRule="exact"/>
              <w:rPr>
                <w:sz w:val="20"/>
                <w:szCs w:val="20"/>
                <w:color w:val="auto"/>
              </w:rPr>
            </w:pPr>
            <w:r>
              <w:rPr>
                <w:rFonts w:ascii="Arial" w:cs="Arial" w:eastAsia="Arial" w:hAnsi="Arial"/>
                <w:sz w:val="13"/>
                <w:szCs w:val="13"/>
                <w:color w:val="0000FF"/>
              </w:rPr>
              <w:t>02/17/2012</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45,000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45,000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the option shares shall vest and become exercisable in a series of sixteen equal quarterly installments upon the completion of each quarter of service through 2/17/2016.</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common stock.</w:t>
      </w:r>
    </w:p>
    <w:p>
      <w:pPr>
        <w:spacing w:after="0" w:line="51" w:lineRule="exact"/>
        <w:rPr>
          <w:rFonts w:ascii="Arial" w:cs="Arial" w:eastAsia="Arial" w:hAnsi="Arial"/>
          <w:sz w:val="13"/>
          <w:szCs w:val="13"/>
          <w:color w:val="008000"/>
        </w:rPr>
      </w:pPr>
    </w:p>
    <w:p>
      <w:pPr>
        <w:ind w:left="40" w:right="2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the restricted stock units shall vest in a series of sixteen equal quarterly installments upon the completion of each quarter of service through 2/17/2016. Vested shares will be delivered to the reporting person as soon as practicable after vesting, but in each case within the period ending no later than the later of the 15th day of the 3rd month following the end of the (i) fiscal year or the (ii) calendar year, which in either case includes the vesting date.</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Uwe Schrader-Hausman</w:t>
            </w:r>
          </w:p>
        </w:tc>
        <w:tc>
          <w:tcPr>
            <w:tcW w:w="3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02/22/2012</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8471"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2019-12-17T04:21:55Z</dcterms:created>
  <dcterms:modified xsi:type="dcterms:W3CDTF">2019-12-17T04:21:55Z</dcterms:modified>
</cp:coreProperties>
</file>