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347272d8k.htm"/>
      <w:bookmarkStart w:id="1" w:name="ksd34727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June 16,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P10,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820" w:type="dxa"/>
        <w:jc w:val="left"/>
        <w:tblInd w:w="0" w:type="dxa"/>
        <w:tblLayout w:type="fixed"/>
        <w:tblCellMar>
          <w:top w:w="0" w:type="dxa"/>
          <w:left w:w="0" w:type="dxa"/>
          <w:bottom w:w="0" w:type="dxa"/>
          <w:right w:w="0" w:type="dxa"/>
        </w:tblCellMar>
      </w:tblPr>
      <w:tblGrid>
        <w:gridCol w:w="2765"/>
        <w:gridCol w:w="60"/>
        <w:gridCol w:w="1055"/>
        <w:gridCol w:w="60"/>
        <w:gridCol w:w="1880"/>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001-40937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87-2908160</w:t>
            </w:r>
          </w:p>
        </w:tc>
      </w:tr>
      <w:tr>
        <w:trPr/>
        <w:tc>
          <w:tcPr>
            <w:tcW w:w="276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4520"/>
        <w:gridCol w:w="60"/>
        <w:gridCol w:w="1145"/>
      </w:tblGrid>
      <w:tr>
        <w:trPr/>
        <w:tc>
          <w:tcPr>
            <w:tcW w:w="4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520" w:type="dxa"/>
            <w:tcBorders/>
            <w:vAlign w:val="center"/>
          </w:tcPr>
          <w:p>
            <w:pPr>
              <w:pStyle w:val="TableContents"/>
              <w:bidi w:val="0"/>
              <w:spacing w:before="0" w:after="283"/>
              <w:jc w:val="center"/>
              <w:rPr>
                <w:b/>
              </w:rPr>
            </w:pPr>
            <w:r>
              <w:rPr>
                <w:b/>
              </w:rPr>
              <w:t>4514 Cole Avenue, Suite 1600, Dallas,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75205</w:t>
            </w:r>
          </w:p>
        </w:tc>
      </w:tr>
      <w:tr>
        <w:trPr/>
        <w:tc>
          <w:tcPr>
            <w:tcW w:w="452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(214) 865-7998</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900" w:type="dxa"/>
        <w:jc w:val="left"/>
        <w:tblInd w:w="0" w:type="dxa"/>
        <w:tblLayout w:type="fixed"/>
        <w:tblCellMar>
          <w:top w:w="0" w:type="dxa"/>
          <w:left w:w="0" w:type="dxa"/>
          <w:bottom w:w="0" w:type="dxa"/>
          <w:right w:w="0" w:type="dxa"/>
        </w:tblCellMar>
      </w:tblPr>
      <w:tblGrid>
        <w:gridCol w:w="5855"/>
        <w:gridCol w:w="60"/>
        <w:gridCol w:w="740"/>
        <w:gridCol w:w="60"/>
        <w:gridCol w:w="3185"/>
      </w:tblGrid>
      <w:tr>
        <w:trPr/>
        <w:tc>
          <w:tcPr>
            <w:tcW w:w="5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58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1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855" w:type="dxa"/>
            <w:tcBorders/>
            <w:vAlign w:val="center"/>
          </w:tcPr>
          <w:p>
            <w:pPr>
              <w:pStyle w:val="TableContents"/>
              <w:bidi w:val="0"/>
              <w:spacing w:before="0" w:after="283"/>
              <w:jc w:val="center"/>
              <w:rPr/>
            </w:pPr>
            <w:r>
              <w:rPr/>
              <w:t>Class A 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PX</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center"/>
              <w:rPr/>
            </w:pPr>
            <w:r>
              <w:rPr/>
              <w:t>New York Stock Exchange LLC</w:t>
            </w:r>
          </w:p>
        </w:tc>
      </w:tr>
      <w:tr>
        <w:trPr/>
        <w:tc>
          <w:tcPr>
            <w:tcW w:w="5855" w:type="dxa"/>
            <w:tcBorders/>
            <w:vAlign w:val="center"/>
          </w:tcPr>
          <w:p>
            <w:pPr>
              <w:pStyle w:val="TableContents"/>
              <w:bidi w:val="0"/>
              <w:spacing w:before="0" w:after="283"/>
              <w:jc w:val="center"/>
              <w:rPr/>
            </w:pPr>
            <w:r>
              <w:rPr/>
              <w:t>Series A Junior Participating Preferred Stock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held its Annual Meeting of Stockholders of P10, Inc. (the “Company”) on June 16, 2023 (the “Annual Meeting”). As of the close of business on April 20, 2023, the record date for the Annual Meeting, there were 43,143,972 shares of Class A Common Stock and 72,823,009 shares of Class B Common Stock (together with Class A Common Stock, the “Common Stock”) outstanding and entitled to vote. Each share of Class A Common Stock is entitled to one (1) vote per share, and each share of Class B Common Stock is entitled to ten (10) votes per share. Holders of shares of our Common Stock representing a total of 692,337,108 votes were represented in person or by proxy at the Annual Meeting, which constituted a quorum to conduct business at the meeting. At the Annual Meeting, the Company’s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Elected two Class II Directors to serve on the Company’s board of directors until the 2026 annual meeting of stockholders and until their successors are duly elected and qualified (Proposal 1);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(b)</w:t>
            </w:r>
          </w:p>
        </w:tc>
        <w:tc>
          <w:tcPr>
            <w:tcW w:w="98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Ratified the appointment of KPMG LLP as the Company’s independent registered public accounting firm to audit the Company’s financial statements for the fiscal year ending December 31, 2023 (Proposal 2).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on these proposals, please see the Proxy Statement. The voting results for each of these proposals are set forth below (giving effect to 10 votes per share of Class B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1 – Election of Class II Directors </w:t>
      </w:r>
    </w:p>
    <w:p>
      <w:pPr>
        <w:pStyle w:val="TextBody"/>
        <w:bidi w:val="0"/>
        <w:spacing w:before="0" w:after="0"/>
        <w:jc w:val="left"/>
        <w:rPr/>
      </w:pPr>
      <w:r>
        <w:rPr/>
        <w:t> </w:t>
      </w:r>
    </w:p>
    <w:tbl>
      <w:tblPr>
        <w:tblW w:w="5585" w:type="dxa"/>
        <w:jc w:val="left"/>
        <w:tblInd w:w="0" w:type="dxa"/>
        <w:tblLayout w:type="fixed"/>
        <w:tblCellMar>
          <w:top w:w="0" w:type="dxa"/>
          <w:left w:w="0" w:type="dxa"/>
          <w:bottom w:w="0" w:type="dxa"/>
          <w:right w:w="0" w:type="dxa"/>
        </w:tblCellMar>
      </w:tblPr>
      <w:tblGrid>
        <w:gridCol w:w="1730"/>
        <w:gridCol w:w="60"/>
        <w:gridCol w:w="1220"/>
        <w:gridCol w:w="60"/>
        <w:gridCol w:w="1100"/>
        <w:gridCol w:w="60"/>
        <w:gridCol w:w="1355"/>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Nominee</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Withholds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M. McCoy</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629,364,957</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54,806,683</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8,165,468</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B. Stewart, Jr.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662,215,465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21,956,175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8,165,468</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2 – Ratification of the appointment of KPMG LLP as the Company’s independent registered public accounting firm to audit the Company’s financial statements for the fiscal year ending December 31, 2023 </w:t>
      </w:r>
    </w:p>
    <w:p>
      <w:pPr>
        <w:pStyle w:val="TextBody"/>
        <w:bidi w:val="0"/>
        <w:spacing w:before="0" w:after="0"/>
        <w:jc w:val="left"/>
        <w:rPr/>
      </w:pPr>
      <w:r>
        <w:rPr/>
        <w:t> </w:t>
      </w:r>
    </w:p>
    <w:tbl>
      <w:tblPr>
        <w:tblW w:w="4655" w:type="dxa"/>
        <w:jc w:val="left"/>
        <w:tblInd w:w="0" w:type="dxa"/>
        <w:tblLayout w:type="fixed"/>
        <w:tblCellMar>
          <w:top w:w="0" w:type="dxa"/>
          <w:left w:w="0" w:type="dxa"/>
          <w:bottom w:w="0" w:type="dxa"/>
          <w:right w:w="0" w:type="dxa"/>
        </w:tblCellMar>
      </w:tblPr>
      <w:tblGrid>
        <w:gridCol w:w="1235"/>
        <w:gridCol w:w="60"/>
        <w:gridCol w:w="1025"/>
        <w:gridCol w:w="60"/>
        <w:gridCol w:w="860"/>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692,140,059</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161,189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35,860</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HorizontalLine"/>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28" w:type="dxa"/>
        <w:jc w:val="left"/>
        <w:tblInd w:w="0" w:type="dxa"/>
        <w:tblLayout w:type="fixed"/>
        <w:tblCellMar>
          <w:top w:w="0" w:type="dxa"/>
          <w:left w:w="0" w:type="dxa"/>
          <w:bottom w:w="0" w:type="dxa"/>
          <w:right w:w="0" w:type="dxa"/>
        </w:tblCellMar>
      </w:tblPr>
      <w:tblGrid>
        <w:gridCol w:w="2060"/>
        <w:gridCol w:w="60"/>
        <w:gridCol w:w="23"/>
        <w:gridCol w:w="60"/>
        <w:gridCol w:w="365"/>
        <w:gridCol w:w="60"/>
        <w:gridCol w:w="290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25" w:type="dxa"/>
            <w:gridSpan w:val="3"/>
            <w:tcBorders/>
            <w:vAlign w:val="center"/>
          </w:tcPr>
          <w:p>
            <w:pPr>
              <w:pStyle w:val="TableContents"/>
              <w:bidi w:val="0"/>
              <w:spacing w:before="0" w:after="283"/>
              <w:jc w:val="left"/>
              <w:rPr>
                <w:b/>
              </w:rPr>
            </w:pPr>
            <w:r>
              <w:rPr>
                <w:b/>
              </w:rPr>
              <w:t>P10, INC.</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960"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June 20,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w:t>
            </w:r>
            <w:r>
              <w:rPr>
                <w:rFonts w:ascii="Times New Roman" w:hAnsi="Times New Roman"/>
                <w:i/>
                <w:sz w:val="20"/>
              </w:rPr>
              <w:t>Amanda Coussens</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Name: Amanda Coussens</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Title: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677</Words>
  <Characters>3616</Characters>
  <CharactersWithSpaces>4291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