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Ridgepost Capital,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87-2908160</w:t>
      </w:r>
    </w:p>
    <w:p>
      <w:pPr>
        <w:spacing w:after="0" w:line="23" w:lineRule="exact"/>
        <w:rPr>
          <w:sz w:val="24"/>
          <w:szCs w:val="24"/>
          <w:color w:val="auto"/>
        </w:rPr>
      </w:pPr>
    </w:p>
    <w:p>
      <w:pPr>
        <w:sectPr>
          <w:pgSz w:w="11900" w:h="16838" w:orient="portrait"/>
          <w:cols w:equalWidth="0" w:num="3">
            <w:col w:w="4640" w:space="720"/>
            <w:col w:w="2940" w:space="720"/>
            <w:col w:w="2220"/>
          </w:cols>
          <w:pgMar w:left="320" w:top="1132" w:right="33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820" w:space="720"/>
            <w:col w:w="2360"/>
          </w:cols>
          <w:pgMar w:left="320" w:top="1132" w:right="339" w:bottom="1440" w:gutter="0" w:footer="0" w:header="0"/>
          <w:type w:val="continuous"/>
        </w:sectPr>
      </w:pPr>
    </w:p>
    <w:p>
      <w:pPr>
        <w:spacing w:after="0" w:line="204"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2699 Howell Street, Suite 1000</w:t>
      </w:r>
    </w:p>
    <w:p>
      <w:pPr>
        <w:spacing w:after="0" w:line="3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Dallas, Texas 75204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2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w:t>
            </w:r>
          </w:p>
        </w:tc>
        <w:tc>
          <w:tcPr>
            <w:tcW w:w="10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Symbol(s)</w:t>
            </w:r>
          </w:p>
        </w:tc>
        <w:tc>
          <w:tcPr>
            <w:tcW w:w="1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on which registered</w:t>
            </w:r>
          </w:p>
        </w:tc>
        <w:tc>
          <w:tcPr>
            <w:tcW w:w="0" w:type="dxa"/>
            <w:vAlign w:val="bottom"/>
          </w:tcPr>
          <w:p>
            <w:pPr>
              <w:spacing w:after="0"/>
              <w:rPr>
                <w:sz w:val="1"/>
                <w:szCs w:val="1"/>
                <w:color w:val="auto"/>
              </w:rPr>
            </w:pPr>
          </w:p>
        </w:tc>
      </w:tr>
      <w:tr>
        <w:trPr>
          <w:trHeight w:val="198"/>
        </w:trPr>
        <w:tc>
          <w:tcPr>
            <w:tcW w:w="3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2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RPC</w:t>
            </w:r>
          </w:p>
        </w:tc>
        <w:tc>
          <w:tcPr>
            <w:tcW w:w="1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Texas, Inc.</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2026 Annual Meeting of Stockholders of Ridgepost of Ridgepost Capital, Inc. (“the Company”) was held on June 18, 2026. Results with respect to proposals submitted at the meeting were as follows:</w:t>
      </w:r>
    </w:p>
    <w:p>
      <w:pPr>
        <w:spacing w:after="0" w:line="162" w:lineRule="exact"/>
        <w:rPr>
          <w:sz w:val="20"/>
          <w:szCs w:val="20"/>
          <w:color w:val="auto"/>
        </w:rPr>
      </w:pPr>
    </w:p>
    <w:p>
      <w:pPr>
        <w:ind w:left="380" w:right="180" w:hanging="372"/>
        <w:spacing w:after="0" w:line="282"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Election of three directors to serve terms expiring at the Company’s annual meeting to be held in 2029 (or, if earlier, such director's disqualification, removal or resignation).</w:t>
      </w:r>
    </w:p>
    <w:p>
      <w:pPr>
        <w:spacing w:after="0" w:line="162"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9"/>
              </w:rPr>
              <w:t>Broker</w:t>
            </w:r>
          </w:p>
        </w:tc>
      </w:tr>
      <w:tr>
        <w:trPr>
          <w:trHeight w:val="194"/>
        </w:trPr>
        <w:tc>
          <w:tcPr>
            <w:tcW w:w="2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212529"/>
              </w:rPr>
              <w:t>Name</w:t>
            </w:r>
          </w:p>
        </w:tc>
        <w:tc>
          <w:tcPr>
            <w:tcW w:w="1460" w:type="dxa"/>
            <w:vAlign w:val="bottom"/>
          </w:tcPr>
          <w:p>
            <w:pPr>
              <w:spacing w:after="0"/>
              <w:rPr>
                <w:sz w:val="16"/>
                <w:szCs w:val="16"/>
                <w:color w:val="auto"/>
              </w:rPr>
            </w:pPr>
          </w:p>
        </w:tc>
        <w:tc>
          <w:tcPr>
            <w:tcW w:w="1560" w:type="dxa"/>
            <w:vAlign w:val="bottom"/>
            <w:gridSpan w:val="2"/>
          </w:tcPr>
          <w:p>
            <w:pPr>
              <w:jc w:val="center"/>
              <w:ind w:right="860"/>
              <w:spacing w:after="0" w:line="194" w:lineRule="exact"/>
              <w:rPr>
                <w:sz w:val="20"/>
                <w:szCs w:val="20"/>
                <w:color w:val="auto"/>
              </w:rPr>
            </w:pPr>
            <w:r>
              <w:rPr>
                <w:rFonts w:ascii="Times New Roman" w:cs="Times New Roman" w:eastAsia="Times New Roman" w:hAnsi="Times New Roman"/>
                <w:sz w:val="18"/>
                <w:szCs w:val="18"/>
                <w:color w:val="212529"/>
                <w:w w:val="97"/>
              </w:rPr>
              <w:t>Votes For</w:t>
            </w:r>
          </w:p>
        </w:tc>
        <w:tc>
          <w:tcPr>
            <w:tcW w:w="262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212529"/>
              </w:rPr>
              <w:t>Votes Withheld</w:t>
            </w:r>
          </w:p>
        </w:tc>
        <w:tc>
          <w:tcPr>
            <w:tcW w:w="740" w:type="dxa"/>
            <w:vAlign w:val="bottom"/>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212529"/>
              </w:rPr>
              <w:t>Non-Votes</w:t>
            </w:r>
          </w:p>
        </w:tc>
      </w:tr>
      <w:tr>
        <w:trPr>
          <w:trHeight w:val="20"/>
        </w:trPr>
        <w:tc>
          <w:tcPr>
            <w:tcW w:w="420" w:type="dxa"/>
            <w:vAlign w:val="bottom"/>
            <w:shd w:val="clear" w:color="auto" w:fill="212529"/>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shd w:val="clear" w:color="auto" w:fill="21252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shd w:val="clear" w:color="auto" w:fill="21252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shd w:val="clear" w:color="auto" w:fill="212529"/>
          </w:tcPr>
          <w:p>
            <w:pPr>
              <w:spacing w:after="0" w:line="20" w:lineRule="exact"/>
              <w:rPr>
                <w:sz w:val="1"/>
                <w:szCs w:val="1"/>
                <w:color w:val="auto"/>
              </w:rPr>
            </w:pPr>
          </w:p>
        </w:tc>
      </w:tr>
      <w:tr>
        <w:trPr>
          <w:trHeight w:val="218"/>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Tracey Benford</w:t>
            </w:r>
          </w:p>
        </w:tc>
        <w:tc>
          <w:tcPr>
            <w:tcW w:w="30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212529"/>
                <w:w w:val="99"/>
              </w:rPr>
              <w:t>329,951,520</w:t>
            </w:r>
          </w:p>
        </w:tc>
        <w:tc>
          <w:tcPr>
            <w:tcW w:w="190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212529"/>
              </w:rPr>
              <w:t>16,224,379</w:t>
            </w:r>
          </w:p>
        </w:tc>
        <w:tc>
          <w:tcPr>
            <w:tcW w:w="720" w:type="dxa"/>
            <w:vAlign w:val="bottom"/>
          </w:tcPr>
          <w:p>
            <w:pPr>
              <w:spacing w:after="0"/>
              <w:rPr>
                <w:sz w:val="18"/>
                <w:szCs w:val="18"/>
                <w:color w:val="auto"/>
              </w:rPr>
            </w:pPr>
          </w:p>
        </w:tc>
        <w:tc>
          <w:tcPr>
            <w:tcW w:w="154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212529"/>
                <w:w w:val="98"/>
              </w:rPr>
              <w:t>11,858,618</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David M. McCoy</w:t>
            </w:r>
          </w:p>
        </w:tc>
        <w:tc>
          <w:tcPr>
            <w:tcW w:w="30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212529"/>
                <w:w w:val="99"/>
              </w:rPr>
              <w:t>333,550,533</w:t>
            </w:r>
          </w:p>
        </w:tc>
        <w:tc>
          <w:tcPr>
            <w:tcW w:w="190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212529"/>
              </w:rPr>
              <w:t>12,625,366</w:t>
            </w:r>
          </w:p>
        </w:tc>
        <w:tc>
          <w:tcPr>
            <w:tcW w:w="720" w:type="dxa"/>
            <w:vAlign w:val="bottom"/>
          </w:tcPr>
          <w:p>
            <w:pPr>
              <w:spacing w:after="0"/>
              <w:rPr>
                <w:sz w:val="18"/>
                <w:szCs w:val="18"/>
                <w:color w:val="auto"/>
              </w:rPr>
            </w:pPr>
          </w:p>
        </w:tc>
        <w:tc>
          <w:tcPr>
            <w:tcW w:w="154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212529"/>
                <w:w w:val="98"/>
              </w:rPr>
              <w:t>11,858,618</w:t>
            </w: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Robert B. Stewart, Jr.</w:t>
            </w:r>
          </w:p>
        </w:tc>
        <w:tc>
          <w:tcPr>
            <w:tcW w:w="30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212529"/>
                <w:w w:val="99"/>
              </w:rPr>
              <w:t>326,001,944</w:t>
            </w:r>
          </w:p>
        </w:tc>
        <w:tc>
          <w:tcPr>
            <w:tcW w:w="190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212529"/>
              </w:rPr>
              <w:t>20,173,955</w:t>
            </w:r>
          </w:p>
        </w:tc>
        <w:tc>
          <w:tcPr>
            <w:tcW w:w="720" w:type="dxa"/>
            <w:vAlign w:val="bottom"/>
          </w:tcPr>
          <w:p>
            <w:pPr>
              <w:spacing w:after="0"/>
              <w:rPr>
                <w:sz w:val="20"/>
                <w:szCs w:val="20"/>
                <w:color w:val="auto"/>
              </w:rPr>
            </w:pPr>
          </w:p>
        </w:tc>
        <w:tc>
          <w:tcPr>
            <w:tcW w:w="154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212529"/>
                <w:w w:val="98"/>
              </w:rPr>
              <w:t>11,858,618</w:t>
            </w:r>
          </w:p>
        </w:tc>
      </w:tr>
    </w:tbl>
    <w:p>
      <w:pPr>
        <w:spacing w:after="0" w:line="198"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Advisory vote to approve named executive officer compensation for 2025.</w:t>
      </w:r>
    </w:p>
    <w:p>
      <w:pPr>
        <w:spacing w:after="0" w:line="225"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212529"/>
              </w:rPr>
              <w:t>Votes For</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341,480,219</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212529"/>
              </w:rPr>
              <w:t>Votes Against</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4,119,114</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212529"/>
              </w:rPr>
              <w:t>Votes Abstained</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576,566</w:t>
            </w: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212529"/>
              </w:rPr>
              <w:t>Broker Non-Votes</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11,858,618</w:t>
            </w:r>
          </w:p>
        </w:tc>
      </w:tr>
    </w:tbl>
    <w:p>
      <w:pPr>
        <w:spacing w:after="0" w:line="198"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Advisory vote on the frequency of holding future advisory votes to approve named executive officer compensation.</w:t>
      </w:r>
    </w:p>
    <w:p>
      <w:pPr>
        <w:spacing w:after="0" w:line="225"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212529"/>
              </w:rPr>
              <w:t>Votes for 1</w:t>
            </w: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212529"/>
              </w:rPr>
              <w:t>Year</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345,966,848</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212529"/>
              </w:rPr>
              <w:t>Votes for 2</w:t>
            </w: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212529"/>
              </w:rPr>
              <w:t>Years</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3,673</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212529"/>
              </w:rPr>
              <w:t>Votes for 3</w:t>
            </w: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212529"/>
              </w:rPr>
              <w:t>Years</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176,150</w:t>
            </w: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Votes Abstained</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29,223</w:t>
            </w: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Broker Non-Votes</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11,858,623</w:t>
            </w:r>
          </w:p>
        </w:tc>
      </w:tr>
    </w:tbl>
    <w:p>
      <w:pPr>
        <w:spacing w:after="0" w:line="198" w:lineRule="exact"/>
        <w:rPr>
          <w:sz w:val="20"/>
          <w:szCs w:val="20"/>
          <w:color w:val="auto"/>
        </w:rPr>
      </w:pPr>
    </w:p>
    <w:p>
      <w:pPr>
        <w:ind w:left="380" w:right="200" w:firstLine="374"/>
        <w:spacing w:after="0" w:line="266" w:lineRule="auto"/>
        <w:rPr>
          <w:sz w:val="20"/>
          <w:szCs w:val="20"/>
          <w:color w:val="auto"/>
        </w:rPr>
      </w:pPr>
      <w:r>
        <w:rPr>
          <w:rFonts w:ascii="Times New Roman" w:cs="Times New Roman" w:eastAsia="Times New Roman" w:hAnsi="Times New Roman"/>
          <w:sz w:val="18"/>
          <w:szCs w:val="18"/>
          <w:color w:val="212529"/>
        </w:rPr>
        <w:t>Based on these results, and consistent with the recommendation of the Company’s Board of Directors, the Company has determined to hold an advisory to approve named executive officer compensation every year until the next stockholder vote on the frequency interval. A stockholder advisory vote regarding the frequency interval is required to be held at least once every six years.</w:t>
      </w:r>
    </w:p>
    <w:p>
      <w:pPr>
        <w:spacing w:after="0" w:line="176"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Ratification of the appointment of KPMG LLP as the Company’s independent registered public accounting firm for the 2026 fiscal year.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ind w:left="480"/>
              <w:spacing w:after="0"/>
              <w:rPr>
                <w:sz w:val="20"/>
                <w:szCs w:val="20"/>
                <w:color w:val="auto"/>
              </w:rPr>
            </w:pPr>
            <w:r>
              <w:rPr>
                <w:rFonts w:ascii="Times New Roman" w:cs="Times New Roman" w:eastAsia="Times New Roman" w:hAnsi="Times New Roman"/>
                <w:sz w:val="18"/>
                <w:szCs w:val="18"/>
                <w:color w:val="212529"/>
              </w:rPr>
              <w:t>Votes For</w:t>
            </w:r>
          </w:p>
        </w:tc>
        <w:tc>
          <w:tcPr>
            <w:tcW w:w="5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12529"/>
              </w:rPr>
              <w:t>357,958,968</w:t>
            </w:r>
          </w:p>
        </w:tc>
      </w:tr>
      <w:tr>
        <w:trPr>
          <w:trHeight w:val="216"/>
        </w:trPr>
        <w:tc>
          <w:tcPr>
            <w:tcW w:w="5960" w:type="dxa"/>
            <w:vAlign w:val="bottom"/>
          </w:tcPr>
          <w:p>
            <w:pPr>
              <w:ind w:left="480"/>
              <w:spacing w:after="0"/>
              <w:rPr>
                <w:sz w:val="20"/>
                <w:szCs w:val="20"/>
                <w:color w:val="auto"/>
              </w:rPr>
            </w:pPr>
            <w:r>
              <w:rPr>
                <w:rFonts w:ascii="Times New Roman" w:cs="Times New Roman" w:eastAsia="Times New Roman" w:hAnsi="Times New Roman"/>
                <w:sz w:val="18"/>
                <w:szCs w:val="18"/>
                <w:color w:val="212529"/>
              </w:rPr>
              <w:t>Votes Against</w:t>
            </w:r>
          </w:p>
        </w:tc>
        <w:tc>
          <w:tcPr>
            <w:tcW w:w="5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12529"/>
              </w:rPr>
              <w:t>64,421</w:t>
            </w:r>
          </w:p>
        </w:tc>
      </w:tr>
      <w:tr>
        <w:trPr>
          <w:trHeight w:val="234"/>
        </w:trPr>
        <w:tc>
          <w:tcPr>
            <w:tcW w:w="5960" w:type="dxa"/>
            <w:vAlign w:val="bottom"/>
          </w:tcPr>
          <w:p>
            <w:pPr>
              <w:ind w:left="480"/>
              <w:spacing w:after="0"/>
              <w:rPr>
                <w:sz w:val="20"/>
                <w:szCs w:val="20"/>
                <w:color w:val="auto"/>
              </w:rPr>
            </w:pPr>
            <w:r>
              <w:rPr>
                <w:rFonts w:ascii="Times New Roman" w:cs="Times New Roman" w:eastAsia="Times New Roman" w:hAnsi="Times New Roman"/>
                <w:sz w:val="18"/>
                <w:szCs w:val="18"/>
                <w:color w:val="212529"/>
              </w:rPr>
              <w:t>Votes Abstained</w:t>
            </w:r>
          </w:p>
        </w:tc>
        <w:tc>
          <w:tcPr>
            <w:tcW w:w="5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12529"/>
              </w:rPr>
              <w:t>11,128</w:t>
            </w:r>
          </w:p>
        </w:tc>
      </w:tr>
      <w:tr>
        <w:trPr>
          <w:trHeight w:val="1195"/>
        </w:trPr>
        <w:tc>
          <w:tcPr>
            <w:tcW w:w="59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Ridgepost Capital, Inc.</w:t>
      </w:r>
    </w:p>
    <w:p>
      <w:pPr>
        <w:spacing w:after="0" w:line="27" w:lineRule="exact"/>
        <w:rPr>
          <w:sz w:val="20"/>
          <w:szCs w:val="20"/>
          <w:color w:val="auto"/>
        </w:rPr>
      </w:pPr>
    </w:p>
    <w:p>
      <w:pPr>
        <w:spacing w:after="0"/>
        <w:tabs>
          <w:tab w:leader="none" w:pos="5720" w:val="left"/>
          <w:tab w:leader="none" w:pos="6200" w:val="left"/>
        </w:tabs>
        <w:rPr>
          <w:sz w:val="20"/>
          <w:szCs w:val="20"/>
          <w:color w:val="auto"/>
        </w:rPr>
      </w:pPr>
      <w:r>
        <w:rPr>
          <w:rFonts w:ascii="Times New Roman" w:cs="Times New Roman" w:eastAsia="Times New Roman" w:hAnsi="Times New Roman"/>
          <w:sz w:val="35"/>
          <w:szCs w:val="35"/>
          <w:color w:val="auto"/>
          <w:vertAlign w:val="subscript"/>
        </w:rPr>
        <w:t>Date: June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Amanda Coussens</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2026-06-23T16:46:36Z</dcterms:created>
  <dcterms:modified xsi:type="dcterms:W3CDTF">2026-06-23T16:46:36Z</dcterms:modified>
</cp:coreProperties>
</file>