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to Section 13 or 15(d) of the</w:t>
      </w:r>
    </w:p>
    <w:p>
      <w:pPr>
        <w:jc w:val="center"/>
        <w:ind w:right="-3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Date of Report (Date of earliest event reported): July 24,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126365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5"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060"/>
          </w:cols>
          <w:pgMar w:left="760" w:top="355" w:right="1079" w:bottom="1440" w:gutter="0" w:footer="0" w:header="0"/>
        </w:sectPr>
      </w:pPr>
    </w:p>
    <w:p>
      <w:pPr>
        <w:spacing w:after="0" w:line="286" w:lineRule="exact"/>
        <w:rPr>
          <w:sz w:val="24"/>
          <w:szCs w:val="24"/>
          <w:color w:val="auto"/>
        </w:rPr>
      </w:pPr>
    </w:p>
    <w:p>
      <w:pPr>
        <w:ind w:left="9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55" w:lineRule="exact"/>
        <w:rPr>
          <w:sz w:val="24"/>
          <w:szCs w:val="24"/>
          <w:color w:val="auto"/>
        </w:rPr>
      </w:pPr>
    </w:p>
    <w:p>
      <w:pPr>
        <w:sectPr>
          <w:pgSz w:w="11900" w:h="16838" w:orient="portrait"/>
          <w:cols w:equalWidth="0" w:num="3">
            <w:col w:w="4100" w:space="720"/>
            <w:col w:w="3120" w:space="720"/>
            <w:col w:w="1400"/>
          </w:cols>
          <w:pgMar w:left="760" w:top="355" w:right="107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(State of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47" w:lineRule="exact"/>
        <w:rPr>
          <w:sz w:val="24"/>
          <w:szCs w:val="24"/>
          <w:color w:val="auto"/>
        </w:rPr>
      </w:pPr>
    </w:p>
    <w:p>
      <w:pPr>
        <w:sectPr>
          <w:pgSz w:w="11900" w:h="16838" w:orient="portrait"/>
          <w:cols w:equalWidth="0" w:num="3">
            <w:col w:w="3700" w:space="720"/>
            <w:col w:w="2960" w:space="720"/>
            <w:col w:w="1960"/>
          </w:cols>
          <w:pgMar w:left="760" w:top="355" w:right="107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2128 W. Braker Lane, BK12,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78758</w:t>
      </w:r>
    </w:p>
    <w:p>
      <w:pPr>
        <w:spacing w:after="0" w:line="55" w:lineRule="exact"/>
        <w:rPr>
          <w:sz w:val="24"/>
          <w:szCs w:val="24"/>
          <w:color w:val="auto"/>
        </w:rPr>
      </w:pPr>
    </w:p>
    <w:p>
      <w:pPr>
        <w:sectPr>
          <w:pgSz w:w="11900" w:h="16838" w:orient="portrait"/>
          <w:cols w:equalWidth="0" w:num="2">
            <w:col w:w="8080" w:space="720"/>
            <w:col w:w="1260"/>
          </w:cols>
          <w:pgMar w:left="760" w:top="355" w:right="107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980" w:space="720"/>
            <w:col w:w="1360"/>
          </w:cols>
          <w:pgMar w:left="760" w:top="355" w:right="1079" w:bottom="1440" w:gutter="0" w:footer="0" w:header="0"/>
          <w:type w:val="continuous"/>
        </w:sectPr>
      </w:pPr>
    </w:p>
    <w:p>
      <w:pPr>
        <w:jc w:val="center"/>
        <w:ind w:right="-31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5" w:lineRule="exact"/>
        <w:rPr>
          <w:sz w:val="24"/>
          <w:szCs w:val="24"/>
          <w:color w:val="auto"/>
        </w:rPr>
      </w:pPr>
    </w:p>
    <w:p>
      <w:pPr>
        <w:jc w:val="center"/>
        <w:ind w:right="-31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wp:posOffset>
            </wp:positionH>
            <wp:positionV relativeFrom="paragraph">
              <wp:posOffset>175895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060"/>
          </w:cols>
          <w:pgMar w:left="760" w:top="355" w:right="1079" w:bottom="1440" w:gutter="0" w:footer="0" w:header="0"/>
          <w:type w:val="continuous"/>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164"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 99</w:t>
      </w:r>
      <w:r>
        <w:rPr>
          <w:rFonts w:ascii="Arial" w:cs="Arial" w:eastAsia="Arial" w:hAnsi="Arial"/>
          <w:sz w:val="15"/>
          <w:szCs w:val="15"/>
          <w:color w:val="auto"/>
        </w:rPr>
        <w:t>Press Release of Active Power, Inc. dated July 24, 2003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24, 2003, Active Power, Inc. issued a press release describing its results of operations for its fiscal quarter ended June 30, 2003. A copy of the press release is attached as Exhibit 99 to this current report.</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274" w:right="6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Registrant has duly caused this report to be signed on its behalf by the undersigned hereunto duly authorized.</w:t>
      </w:r>
    </w:p>
    <w:p>
      <w:pPr>
        <w:spacing w:after="0" w:line="11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OWER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spacing w:after="0"/>
        <w:tabs>
          <w:tab w:leader="none" w:pos="6140" w:val="left"/>
          <w:tab w:leader="none" w:pos="7980" w:val="left"/>
        </w:tabs>
        <w:rPr>
          <w:sz w:val="20"/>
          <w:szCs w:val="20"/>
          <w:color w:val="auto"/>
        </w:rPr>
      </w:pPr>
      <w:r>
        <w:rPr>
          <w:rFonts w:ascii="Arial" w:cs="Arial" w:eastAsia="Arial" w:hAnsi="Arial"/>
          <w:sz w:val="18"/>
          <w:szCs w:val="18"/>
          <w:color w:val="auto"/>
        </w:rPr>
        <w:t>Dated: July 24,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Joseph F. Pinkerton, III</w:t>
      </w:r>
    </w:p>
    <w:p>
      <w:pPr>
        <w:spacing w:after="0" w:line="1"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Chairman of the Board, President and Chief Executive Officer</w:t>
      </w:r>
    </w:p>
    <w:p>
      <w:pPr>
        <w:sectPr>
          <w:pgSz w:w="11900" w:h="16838" w:orient="portrait"/>
          <w:cols w:equalWidth="0" w:num="1">
            <w:col w:w="11200"/>
          </w:cols>
          <w:pgMar w:left="240" w:top="274"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780" w:type="dxa"/>
            <w:vAlign w:val="bottom"/>
          </w:tcPr>
          <w:p>
            <w:pPr>
              <w:ind w:left="242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jc w:val="right"/>
              <w:ind w:right="42"/>
              <w:spacing w:after="0"/>
              <w:rPr>
                <w:sz w:val="20"/>
                <w:szCs w:val="20"/>
                <w:color w:val="auto"/>
              </w:rPr>
            </w:pPr>
            <w:r>
              <w:rPr>
                <w:rFonts w:ascii="Arial" w:cs="Arial" w:eastAsia="Arial" w:hAnsi="Arial"/>
                <w:sz w:val="14"/>
                <w:szCs w:val="14"/>
                <w:color w:val="auto"/>
              </w:rPr>
              <w:t>Exhibit No.</w:t>
            </w:r>
          </w:p>
        </w:tc>
        <w:tc>
          <w:tcPr>
            <w:tcW w:w="5520" w:type="dxa"/>
            <w:vAlign w:val="bottom"/>
            <w:gridSpan w:val="3"/>
          </w:tcPr>
          <w:p>
            <w:pPr>
              <w:ind w:left="840"/>
              <w:spacing w:after="0"/>
              <w:rPr>
                <w:sz w:val="20"/>
                <w:szCs w:val="20"/>
                <w:color w:val="auto"/>
              </w:rPr>
            </w:pPr>
            <w:r>
              <w:rPr>
                <w:rFonts w:ascii="Arial" w:cs="Arial" w:eastAsia="Arial" w:hAnsi="Arial"/>
                <w:sz w:val="14"/>
                <w:szCs w:val="14"/>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r>
      <w:tr>
        <w:trPr>
          <w:trHeight w:val="316"/>
        </w:trPr>
        <w:tc>
          <w:tcPr>
            <w:tcW w:w="880" w:type="dxa"/>
            <w:vAlign w:val="bottom"/>
          </w:tcPr>
          <w:p>
            <w:pPr>
              <w:jc w:val="right"/>
              <w:ind w:right="442"/>
              <w:spacing w:after="0"/>
              <w:rPr>
                <w:sz w:val="20"/>
                <w:szCs w:val="20"/>
                <w:color w:val="auto"/>
              </w:rPr>
            </w:pPr>
            <w:r>
              <w:rPr>
                <w:rFonts w:ascii="Arial" w:cs="Arial" w:eastAsia="Arial" w:hAnsi="Arial"/>
                <w:sz w:val="18"/>
                <w:szCs w:val="18"/>
                <w:color w:val="auto"/>
              </w:rPr>
              <w:t>99</w:t>
            </w:r>
          </w:p>
        </w:tc>
        <w:tc>
          <w:tcPr>
            <w:tcW w:w="5520" w:type="dxa"/>
            <w:vAlign w:val="bottom"/>
            <w:gridSpan w:val="3"/>
          </w:tcPr>
          <w:p>
            <w:pPr>
              <w:ind w:left="840"/>
              <w:spacing w:after="0"/>
              <w:rPr>
                <w:sz w:val="20"/>
                <w:szCs w:val="20"/>
                <w:color w:val="auto"/>
              </w:rPr>
            </w:pPr>
            <w:r>
              <w:rPr>
                <w:rFonts w:ascii="Arial" w:cs="Arial" w:eastAsia="Arial" w:hAnsi="Arial"/>
                <w:sz w:val="18"/>
                <w:szCs w:val="18"/>
                <w:color w:val="auto"/>
              </w:rPr>
              <w:t>Press Release of Active Power, Inc. dated July 24, 2003</w:t>
            </w:r>
          </w:p>
        </w:tc>
      </w:tr>
    </w:tbl>
    <w:p>
      <w:pPr>
        <w:ind w:left="84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 of Active Power, Inc. dated July 24, 2003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LOGO]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SECOND QUARTER RESULTS</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AUSTIN, Texas (July 24, 2003) — Active Power, Inc. (NASDAQ: ACPW) today announced results for its second quarter ended June 30, 2003. Total revenues for the second quarter of fiscal 2003 were $1.9 million, down 40% from the same period the prior year. Included in this decrease was the absence of any development funding during the second quarter of 2003, compared with $1.0 million of development funding for the same period of 2002. Sequentially, revenues were up 15% from the previous quarter.</w:t>
      </w:r>
    </w:p>
    <w:p>
      <w:pPr>
        <w:spacing w:after="0" w:line="130"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Net loss for the second quarter of 2003 was $5.9 million, or 14 cents per share, compared to a net loss of $6.7 million, or 16 cents per share, for the same period last year and a net loss of $6.3 million, or 15 cents per share, for the previous quarter. Consumption of cash and investments for the quarter was $4.0 million, as compared to $4.3 million for the same period last year and $5.3 million for the previous quarter. Cash and investments at June 30, 2003 were $80.7 million.</w:t>
      </w:r>
    </w:p>
    <w:p>
      <w:pPr>
        <w:spacing w:after="0" w:line="75" w:lineRule="exact"/>
        <w:rPr>
          <w:sz w:val="20"/>
          <w:szCs w:val="20"/>
          <w:color w:val="auto"/>
        </w:rPr>
      </w:pPr>
    </w:p>
    <w:p>
      <w:pPr>
        <w:jc w:val="both"/>
        <w:ind w:right="200"/>
        <w:spacing w:after="0" w:line="267" w:lineRule="auto"/>
        <w:rPr>
          <w:sz w:val="20"/>
          <w:szCs w:val="20"/>
          <w:color w:val="auto"/>
        </w:rPr>
      </w:pPr>
      <w:r>
        <w:rPr>
          <w:rFonts w:ascii="Arial" w:cs="Arial" w:eastAsia="Arial" w:hAnsi="Arial"/>
          <w:sz w:val="18"/>
          <w:szCs w:val="18"/>
          <w:color w:val="auto"/>
        </w:rPr>
        <w:t>“We saw sequential increases in product revenue and quoting activity in the second quarter, and believe these increases were due primarily to the broadening of our CleanSource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product line,” said Joe Pinkerton, Chairman and CEO of Active Power. “We began shipping our mid-range power (65 – 130 kVA) UPS in the second quarter and expect to ship our high power (1200 kVA) UPS in the current quarter.”</w:t>
      </w:r>
    </w:p>
    <w:p>
      <w:pPr>
        <w:spacing w:after="0" w:line="12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development of our battery-free, 15-minute runtime system continues to progress. An early-stage prototype of the system is now working in our lab, and its performance to date is in line with our computer simulations. We plan to demonstrate this prototype to a handful of potential customers and distributors over the next several months.”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Business Highlights:</w:t>
      </w:r>
    </w:p>
    <w:p>
      <w:pPr>
        <w:spacing w:after="0" w:line="77" w:lineRule="exact"/>
        <w:rPr>
          <w:sz w:val="20"/>
          <w:szCs w:val="20"/>
          <w:color w:val="auto"/>
        </w:rPr>
      </w:pPr>
    </w:p>
    <w:p>
      <w:pPr>
        <w:ind w:left="780" w:right="40" w:hanging="326"/>
        <w:spacing w:after="0" w:line="325"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Shipped the first two units of our mid-range power UPS system. The first system was installed at a motion picture film processing facility in Japan and was selected for its space and life cycle cost benefits. The second system was delivered to the State of Alaska Crime Lab.</w:t>
      </w:r>
    </w:p>
    <w:p>
      <w:pPr>
        <w:spacing w:after="0" w:line="1"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Lowered our consumption of cash and investments for the quarter to $4.0 million, a 25% reduction from the previous quarter, through inventory management and reduced capital spending.</w:t>
      </w:r>
    </w:p>
    <w:p>
      <w:pPr>
        <w:sectPr>
          <w:pgSz w:w="11900" w:h="16838" w:orient="portrait"/>
          <w:cols w:equalWidth="0" w:num="1">
            <w:col w:w="11420"/>
          </w:cols>
          <w:pgMar w:left="240" w:top="125" w:right="239" w:bottom="1440" w:gutter="0" w:footer="0" w:header="0"/>
        </w:sectPr>
      </w:pPr>
    </w:p>
    <w:bookmarkStart w:id="5" w:name="page6"/>
    <w:bookmarkEnd w:id="5"/>
    <w:p>
      <w:pPr>
        <w:ind w:left="7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Completed the previously announced reduction of workforce in April. This action is expected to lower our costs by approximately $3 million per year, beginning in Q3.</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an order for our first two high power 1200 kVA UPS systems. First customer shipment of this product is expected in Q3.</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Leveraged our existing “seed” installations protecting hospitals, broadcasting and airport operations with additional sales into those industries.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Executed agreements with several additional manufacturer’s representatives and distributors to sell our Active Power branded products.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Outlook:</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Active Power expects third quarter 2003 revenue to increase to approximately $2.5 to $3.0 million, and third quarter earnings per share to be a loss of approximately 12 to 13 cents. We expect cash consumption to increase in Q3 to a range of $4.5 million to $5.5 million due to changes in our working capital. For the full year 2003, we expect cash consumption to be in the range of $18.0 to $19.0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83" w:lineRule="exact"/>
        <w:rPr>
          <w:sz w:val="20"/>
          <w:szCs w:val="20"/>
          <w:color w:val="auto"/>
        </w:rPr>
      </w:pPr>
    </w:p>
    <w:p>
      <w:pPr>
        <w:ind w:right="20"/>
        <w:spacing w:after="0" w:line="333" w:lineRule="auto"/>
        <w:rPr>
          <w:sz w:val="20"/>
          <w:szCs w:val="20"/>
          <w:color w:val="auto"/>
        </w:rPr>
      </w:pPr>
      <w:r>
        <w:rPr>
          <w:rFonts w:ascii="Arial" w:cs="Arial" w:eastAsia="Arial" w:hAnsi="Arial"/>
          <w:sz w:val="16"/>
          <w:szCs w:val="16"/>
          <w:color w:val="auto"/>
        </w:rPr>
        <w:t>The Company will host a conference call today, Thursday, July 24, at 11:00 a.m. Eastern Time, to further review the Company’s fiscal Q2 results. A replay of the webcast will be available until August 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Investors may access the live broadcast and replay through our web site: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b w:val="1"/>
          <w:bCs w:val="1"/>
          <w:color w:val="auto"/>
        </w:rPr>
        <w:t>About Active Power:</w:t>
      </w:r>
    </w:p>
    <w:p>
      <w:pPr>
        <w:spacing w:after="0" w:line="83" w:lineRule="exact"/>
        <w:rPr>
          <w:sz w:val="20"/>
          <w:szCs w:val="20"/>
          <w:color w:val="auto"/>
        </w:rPr>
      </w:pPr>
    </w:p>
    <w:p>
      <w:pPr>
        <w:ind w:right="180"/>
        <w:spacing w:after="0" w:line="320"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that provides a highly reliable, low-cost and non-toxic replacement for lead-acid batteries used in conventional power quality installations.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a slowing global economy, particularly in the primary markets served by our products, and continued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Arial" w:cs="Arial" w:eastAsia="Arial" w:hAnsi="Arial"/>
          <w:sz w:val="16"/>
          <w:szCs w:val="16"/>
          <w:color w:val="auto"/>
          <w:vertAlign w:val="superscript"/>
        </w:rPr>
        <w:t>®</w:t>
      </w:r>
      <w:r>
        <w:rPr>
          <w:rFonts w:ascii="Arial" w:cs="Arial" w:eastAsia="Arial" w:hAnsi="Arial"/>
          <w:sz w:val="16"/>
          <w:szCs w:val="16"/>
          <w:color w:val="auto"/>
        </w:rPr>
        <w:t>; competition; delays in research and development; dependence on sole or limited source suppliers; inability to increase product sales; inventory risks; dependence upon key personnel; inability to protect our intellectual property rights, including the possibility of an adverse outcome in the litigation in which we are currently engaged; potential future acquisitions; the volatility of our stock price regardless of our actual financial performance; and</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6" w:name="page7"/>
    <w:bookmarkEnd w:id="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Active Power and our Active Power logo and CleanSource are registered trademarks of Active Power, Inc. All other trademarks are the properties of their respective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Michael Chibib, Investors, 512.744.9453, </w:t>
      </w:r>
      <w:r>
        <w:rPr>
          <w:rFonts w:ascii="Arial" w:cs="Arial" w:eastAsia="Arial" w:hAnsi="Arial"/>
          <w:sz w:val="18"/>
          <w:szCs w:val="18"/>
          <w:u w:val="single" w:color="auto"/>
          <w:color w:val="auto"/>
        </w:rPr>
        <w:t>mchibib@activepower.com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Derek Jones, Corporate Communications, 512.744.9210, </w:t>
      </w:r>
      <w:r>
        <w:rPr>
          <w:rFonts w:ascii="Arial" w:cs="Arial" w:eastAsia="Arial" w:hAnsi="Arial"/>
          <w:sz w:val="18"/>
          <w:szCs w:val="18"/>
          <w:u w:val="single" w:color="auto"/>
          <w:color w:val="auto"/>
        </w:rPr>
        <w:t>djones@activepower.com</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80"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Six</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20" w:type="dxa"/>
            <w:vAlign w:val="bottom"/>
          </w:tcPr>
          <w:p>
            <w:pPr>
              <w:spacing w:after="0"/>
              <w:rPr>
                <w:sz w:val="12"/>
                <w:szCs w:val="12"/>
                <w:color w:val="auto"/>
              </w:rPr>
            </w:pPr>
          </w:p>
        </w:tc>
        <w:tc>
          <w:tcPr>
            <w:tcW w:w="182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4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1,871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2,101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3,647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Cost of development contract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3,084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5,616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10,608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10,576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Loss from operations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(6,305)</w:t>
            </w:r>
          </w:p>
        </w:tc>
        <w:tc>
          <w:tcPr>
            <w:tcW w:w="10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(7,507)</w:t>
            </w:r>
          </w:p>
        </w:tc>
        <w:tc>
          <w:tcPr>
            <w:tcW w:w="120" w:type="dxa"/>
            <w:vAlign w:val="bottom"/>
          </w:tcPr>
          <w:p>
            <w:pPr>
              <w:spacing w:after="0"/>
              <w:rPr>
                <w:sz w:val="18"/>
                <w:szCs w:val="18"/>
                <w:color w:val="auto"/>
              </w:rPr>
            </w:pPr>
          </w:p>
        </w:tc>
        <w:tc>
          <w:tcPr>
            <w:tcW w:w="1040" w:type="dxa"/>
            <w:vAlign w:val="bottom"/>
            <w:gridSpan w:val="2"/>
          </w:tcPr>
          <w:p>
            <w:pPr>
              <w:jc w:val="right"/>
              <w:ind w:right="372"/>
              <w:spacing w:after="0"/>
              <w:rPr>
                <w:sz w:val="20"/>
                <w:szCs w:val="20"/>
                <w:color w:val="auto"/>
              </w:rPr>
            </w:pPr>
            <w:r>
              <w:rPr>
                <w:rFonts w:ascii="Arial" w:cs="Arial" w:eastAsia="Arial" w:hAnsi="Arial"/>
                <w:sz w:val="18"/>
                <w:szCs w:val="18"/>
                <w:color w:val="auto"/>
                <w:w w:val="86"/>
              </w:rPr>
              <w:t>(13,220)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040" w:type="dxa"/>
            <w:vAlign w:val="bottom"/>
            <w:gridSpan w:val="2"/>
          </w:tcPr>
          <w:p>
            <w:pPr>
              <w:jc w:val="right"/>
              <w:ind w:right="37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(5,933)</w:t>
            </w:r>
          </w:p>
        </w:tc>
        <w:tc>
          <w:tcPr>
            <w:tcW w:w="100" w:type="dxa"/>
            <w:vAlign w:val="bottom"/>
          </w:tcPr>
          <w:p>
            <w:pPr>
              <w:spacing w:after="0"/>
              <w:rPr>
                <w:sz w:val="19"/>
                <w:szCs w:val="19"/>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(6,707)</w:t>
            </w:r>
          </w:p>
        </w:tc>
        <w:tc>
          <w:tcPr>
            <w:tcW w:w="120" w:type="dxa"/>
            <w:vAlign w:val="bottom"/>
          </w:tcPr>
          <w:p>
            <w:pPr>
              <w:spacing w:after="0"/>
              <w:rPr>
                <w:sz w:val="19"/>
                <w:szCs w:val="19"/>
                <w:color w:val="auto"/>
              </w:rPr>
            </w:pPr>
          </w:p>
        </w:tc>
        <w:tc>
          <w:tcPr>
            <w:tcW w:w="1040" w:type="dxa"/>
            <w:vAlign w:val="bottom"/>
            <w:gridSpan w:val="2"/>
          </w:tcPr>
          <w:p>
            <w:pPr>
              <w:jc w:val="right"/>
              <w:ind w:right="372"/>
              <w:spacing w:after="0"/>
              <w:rPr>
                <w:sz w:val="20"/>
                <w:szCs w:val="20"/>
                <w:color w:val="auto"/>
              </w:rPr>
            </w:pPr>
            <w:r>
              <w:rPr>
                <w:rFonts w:ascii="Arial" w:cs="Arial" w:eastAsia="Arial" w:hAnsi="Arial"/>
                <w:sz w:val="18"/>
                <w:szCs w:val="18"/>
                <w:color w:val="auto"/>
                <w:w w:val="86"/>
              </w:rPr>
              <w:t>(12,225)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(13,246)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41,129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41,247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 to common shareholders per share—basic &amp; diluted</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rPr>
              <w:t>(0.16)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72"/>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320" w:type="dxa"/>
            <w:vAlign w:val="bottom"/>
          </w:tcPr>
          <w:p>
            <w:pPr>
              <w:jc w:val="right"/>
              <w:ind w:right="14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-600710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-600710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-600710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-600710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-600710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-600710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-600710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-600710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-600710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-600710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-600710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-600710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50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(unaudited)</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Cash &amp; investments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80,699</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11,504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98,891</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702</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98,891</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-1161415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-1161415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-1161415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-1161415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-1161415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-1161415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2019-12-12T01:47:16Z</dcterms:created>
  <dcterms:modified xsi:type="dcterms:W3CDTF">2019-12-12T01:47:16Z</dcterms:modified>
</cp:coreProperties>
</file>