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Gwilliam Scott 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09/05/2023</w:t>
            </w: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13,089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09/05/2023</w:t>
            </w:r>
          </w:p>
        </w:tc>
        <w:tc>
          <w:tcPr>
            <w:tcW w:w="1100" w:type="dxa"/>
            <w:vAlign w:val="bottom"/>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J</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13,089</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13,089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2023, the reporting person was granted a total of 13,089 RSUs, all of which will vest on the first anniversary of the grant date, provided that the reporting person remains in continuous service with the Issuer through such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04/16/2024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8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9691"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2024-04-19T14:36:27Z</dcterms:created>
  <dcterms:modified xsi:type="dcterms:W3CDTF">2024-04-19T14:36:27Z</dcterms:modified>
</cp:coreProperties>
</file>