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AllianceBernstein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13-4064930</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2,630,577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2,683,436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35,511</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2,718,947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11.8%</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40" w:right="8120" w:hanging="627"/>
        <w:spacing w:after="0" w:line="280" w:lineRule="auto"/>
        <w:tabs>
          <w:tab w:leader="none" w:pos="154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Name of Issuer </w:t>
      </w:r>
      <w:r>
        <w:rPr>
          <w:rFonts w:ascii="Arial" w:cs="Arial" w:eastAsia="Arial" w:hAnsi="Arial"/>
          <w:sz w:val="21"/>
          <w:szCs w:val="21"/>
          <w:color w:val="auto"/>
        </w:rPr>
        <w:t>P10 Inc</w:t>
      </w:r>
    </w:p>
    <w:p>
      <w:pPr>
        <w:spacing w:after="0" w:line="57" w:lineRule="exact"/>
        <w:rPr>
          <w:rFonts w:ascii="Arial" w:cs="Arial" w:eastAsia="Arial" w:hAnsi="Arial"/>
          <w:sz w:val="21"/>
          <w:szCs w:val="21"/>
          <w:b w:val="1"/>
          <w:bCs w:val="1"/>
          <w:color w:val="auto"/>
        </w:rPr>
      </w:pPr>
    </w:p>
    <w:p>
      <w:pPr>
        <w:ind w:left="1540" w:hanging="627"/>
        <w:spacing w:after="0"/>
        <w:tabs>
          <w:tab w:leader="none" w:pos="1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4514 COLE AVENUE, SUITE 1600, DALLAS, TEXAS 75205</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40" w:hanging="627"/>
        <w:spacing w:after="0"/>
        <w:tabs>
          <w:tab w:leader="none" w:pos="15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AllianceBernstein L.P. ("AllianceBernstein L.P.")</w:t>
      </w:r>
    </w:p>
    <w:p>
      <w:pPr>
        <w:spacing w:after="0" w:line="101" w:lineRule="exact"/>
        <w:rPr>
          <w:rFonts w:ascii="Arial" w:cs="Arial" w:eastAsia="Arial" w:hAnsi="Arial"/>
          <w:sz w:val="22"/>
          <w:szCs w:val="22"/>
          <w:b w:val="1"/>
          <w:bCs w:val="1"/>
          <w:color w:val="auto"/>
        </w:rPr>
      </w:pPr>
    </w:p>
    <w:p>
      <w:pPr>
        <w:ind w:left="1540" w:right="412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1345 Avenue of the Americas, New York, NY 10105</w:t>
      </w:r>
    </w:p>
    <w:p>
      <w:pPr>
        <w:spacing w:after="0" w:line="126" w:lineRule="exact"/>
        <w:rPr>
          <w:rFonts w:ascii="Arial" w:cs="Arial" w:eastAsia="Arial" w:hAnsi="Arial"/>
          <w:sz w:val="19"/>
          <w:szCs w:val="19"/>
          <w:b w:val="1"/>
          <w:bCs w:val="1"/>
          <w:color w:val="auto"/>
        </w:rPr>
      </w:pPr>
    </w:p>
    <w:p>
      <w:pPr>
        <w:ind w:left="1540" w:right="220"/>
        <w:spacing w:after="0" w:line="250" w:lineRule="auto"/>
        <w:rPr>
          <w:rFonts w:ascii="Arial" w:cs="Arial" w:eastAsia="Arial" w:hAnsi="Arial"/>
          <w:sz w:val="19"/>
          <w:szCs w:val="19"/>
          <w:b w:val="1"/>
          <w:bCs w:val="1"/>
          <w:color w:val="auto"/>
        </w:rPr>
      </w:pPr>
      <w:r>
        <w:rPr>
          <w:rFonts w:ascii="Arial" w:cs="Arial" w:eastAsia="Arial" w:hAnsi="Arial"/>
          <w:sz w:val="22"/>
          <w:szCs w:val="22"/>
          <w:color w:val="auto"/>
        </w:rPr>
        <w:t>All media outlets, please contact Jennifer Will at AllianceBernstein (212-969-1157) with any questions. All other questions can be directed to Section13USFilings@alliancebernstein.com.</w:t>
      </w:r>
    </w:p>
    <w:p>
      <w:pPr>
        <w:spacing w:after="0" w:line="87" w:lineRule="exact"/>
        <w:rPr>
          <w:rFonts w:ascii="Arial" w:cs="Arial" w:eastAsia="Arial" w:hAnsi="Arial"/>
          <w:sz w:val="19"/>
          <w:szCs w:val="19"/>
          <w:b w:val="1"/>
          <w:bCs w:val="1"/>
          <w:color w:val="auto"/>
        </w:rPr>
      </w:pPr>
    </w:p>
    <w:p>
      <w:pPr>
        <w:ind w:left="1540" w:right="846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540" w:right="712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40" w:right="804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69376K106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60"/>
          </w:cols>
          <w:pgMar w:left="400" w:top="423" w:right="439" w:bottom="0" w:gutter="0" w:footer="0" w:header="0"/>
        </w:sectPr>
      </w:pPr>
    </w:p>
    <w:p>
      <w:pPr>
        <w:spacing w:after="0" w:line="131"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80"/>
            <w:col w:w="8700"/>
          </w:cols>
          <w:pgMar w:left="400" w:top="423" w:right="439" w:bottom="0" w:gutter="0" w:footer="0" w:header="0"/>
          <w:type w:val="continuous"/>
        </w:sectPr>
      </w:pPr>
    </w:p>
    <w:p>
      <w:pPr>
        <w:ind w:right="70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40" w:hanging="627"/>
        <w:spacing w:after="0"/>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40" w:right="740"/>
        <w:spacing w:after="0" w:line="250" w:lineRule="auto"/>
        <w:rPr>
          <w:rFonts w:ascii="Arial" w:cs="Arial" w:eastAsia="Arial" w:hAnsi="Arial"/>
          <w:sz w:val="22"/>
          <w:szCs w:val="22"/>
          <w:color w:val="auto"/>
        </w:rPr>
      </w:pPr>
      <w:r>
        <w:rPr>
          <w:rFonts w:ascii="Arial" w:cs="Arial" w:eastAsia="Arial" w:hAnsi="Arial"/>
          <w:sz w:val="22"/>
          <w:szCs w:val="22"/>
          <w:color w:val="auto"/>
        </w:rPr>
        <w:t>2,718,947 shares acquired solely for investment purposes on behalf of client discretionary investment advisory accounts.*</w:t>
      </w:r>
    </w:p>
    <w:p>
      <w:pPr>
        <w:spacing w:after="0" w:line="93" w:lineRule="exact"/>
        <w:rPr>
          <w:rFonts w:ascii="Arial" w:cs="Arial" w:eastAsia="Arial" w:hAnsi="Arial"/>
          <w:sz w:val="22"/>
          <w:szCs w:val="22"/>
          <w:color w:val="auto"/>
        </w:rPr>
      </w:pPr>
    </w:p>
    <w:p>
      <w:pPr>
        <w:ind w:left="1540" w:right="8040" w:hanging="627"/>
        <w:spacing w:after="0" w:line="358" w:lineRule="auto"/>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11.8%</w:t>
      </w:r>
    </w:p>
    <w:p>
      <w:pPr>
        <w:sectPr>
          <w:pgSz w:w="11900" w:h="16838" w:orient="portrait"/>
          <w:cols w:equalWidth="0" w:num="1">
            <w:col w:w="11060"/>
          </w:cols>
          <w:pgMar w:left="400" w:top="423" w:right="439" w:bottom="0" w:gutter="0" w:footer="0" w:header="0"/>
          <w:type w:val="continuous"/>
        </w:sectPr>
      </w:pPr>
    </w:p>
    <w:p>
      <w:pPr>
        <w:spacing w:after="0" w:line="1" w:lineRule="exact"/>
        <w:rPr>
          <w:sz w:val="20"/>
          <w:szCs w:val="20"/>
          <w:color w:val="auto"/>
        </w:rPr>
      </w:pPr>
    </w:p>
    <w:p>
      <w:pPr>
        <w:ind w:left="1540" w:hanging="627"/>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60" w:hanging="812"/>
        <w:spacing w:after="0"/>
        <w:tabs>
          <w:tab w:leader="none" w:pos="23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60" w:hanging="812"/>
        <w:spacing w:after="0"/>
        <w:tabs>
          <w:tab w:leader="none" w:pos="23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60" w:hanging="812"/>
        <w:spacing w:after="0" w:line="183" w:lineRule="auto"/>
        <w:tabs>
          <w:tab w:leader="none" w:pos="23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60" w:right="780" w:hanging="812"/>
        <w:spacing w:after="0" w:line="183" w:lineRule="auto"/>
        <w:tabs>
          <w:tab w:leader="none" w:pos="23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auto"/>
        </w:rPr>
        <w:t>2,630,577</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2,683,436</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35,511</w:t>
      </w:r>
    </w:p>
    <w:p>
      <w:pPr>
        <w:spacing w:after="0" w:line="246" w:lineRule="exact"/>
        <w:rPr>
          <w:sz w:val="20"/>
          <w:szCs w:val="20"/>
          <w:color w:val="auto"/>
        </w:rPr>
      </w:pPr>
    </w:p>
    <w:p>
      <w:pPr>
        <w:sectPr>
          <w:pgSz w:w="11900" w:h="16838" w:orient="portrait"/>
          <w:cols w:equalWidth="0" w:num="2">
            <w:col w:w="6540" w:space="280"/>
            <w:col w:w="4240"/>
          </w:cols>
          <w:pgMar w:left="400" w:top="423" w:right="439" w:bottom="0" w:gutter="0" w:footer="0" w:header="0"/>
          <w:type w:val="continuous"/>
        </w:sectPr>
      </w:pPr>
    </w:p>
    <w:p>
      <w:pPr>
        <w:spacing w:after="0"/>
        <w:rPr>
          <w:sz w:val="20"/>
          <w:szCs w:val="20"/>
          <w:color w:val="auto"/>
        </w:rPr>
      </w:pPr>
      <w:r>
        <w:rPr>
          <w:rFonts w:ascii="Arial" w:cs="Arial" w:eastAsia="Arial" w:hAnsi="Arial"/>
          <w:sz w:val="19"/>
          <w:szCs w:val="19"/>
          <w:color w:val="auto"/>
        </w:rPr>
        <w:t>*AllianceBernstein L.P. is a majority owned subsidiary of Equitable Holdings, Inc. ("EQH"). AllianceBernstein operates under</w:t>
      </w:r>
    </w:p>
    <w:p>
      <w:pPr>
        <w:sectPr>
          <w:pgSz w:w="11900" w:h="16838" w:orient="portrait"/>
          <w:cols w:equalWidth="0" w:num="1">
            <w:col w:w="11060"/>
          </w:cols>
          <w:pgMar w:left="400" w:top="423" w:right="439" w:bottom="0" w:gutter="0" w:footer="0" w:header="0"/>
          <w:type w:val="continuous"/>
        </w:sectPr>
      </w:pPr>
    </w:p>
    <w:bookmarkStart w:id="3" w:name="page4"/>
    <w:bookmarkEnd w:id="3"/>
    <w:p>
      <w:pPr>
        <w:jc w:val="both"/>
        <w:ind w:right="40"/>
        <w:spacing w:after="0"/>
        <w:rPr>
          <w:sz w:val="20"/>
          <w:szCs w:val="20"/>
          <w:color w:val="auto"/>
        </w:rPr>
      </w:pPr>
      <w:r>
        <w:rPr>
          <w:rFonts w:ascii="Arial" w:cs="Arial" w:eastAsia="Arial" w:hAnsi="Arial"/>
          <w:sz w:val="22"/>
          <w:szCs w:val="22"/>
          <w:color w:val="auto"/>
        </w:rPr>
        <w:t>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AllianceBernstein L.P.</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Brenda Coulter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Date: February 14, 2022</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Brenda Coulter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VP and Head of Regulatory Reporting</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2022-02-14T14:22:37Z</dcterms:created>
  <dcterms:modified xsi:type="dcterms:W3CDTF">2022-02-14T14:22:37Z</dcterms:modified>
</cp:coreProperties>
</file>