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right="1879" w:firstLine="8"/>
        <w:spacing w:after="0" w:line="34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623" w:right="1440" w:bottom="1440" w:gutter="0" w:footer="0" w:header="0"/>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Courier New" w:cs="Courier New" w:eastAsia="Courier New" w:hAnsi="Courier New"/>
          <w:sz w:val="18"/>
          <w:szCs w:val="18"/>
          <w:color w:val="auto"/>
        </w:rPr>
        <w:t>March 31, 2001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3160" w:space="220"/>
            <w:col w:w="6839"/>
          </w:cols>
          <w:pgMar w:left="240" w:top="623"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623" w:right="1440" w:bottom="1440" w:gutter="0" w:footer="0" w:header="0"/>
          <w:type w:val="continuous"/>
        </w:sectPr>
      </w:pPr>
    </w:p>
    <w:p>
      <w:pPr>
        <w:spacing w:after="0" w:line="224"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[_] TRANSITION REPORT PURSUANT TO SECTION 13 OR 15(d) OF THE SECURITIES EXCHANGE ACT OF 1934</w:t>
      </w:r>
    </w:p>
    <w:p>
      <w:pPr>
        <w:spacing w:after="0" w:line="18"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__________________________ to __________________</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_______________________________________________________</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74-2961657</w:t>
            </w:r>
          </w:p>
        </w:tc>
      </w:tr>
    </w:tbl>
    <w:p>
      <w:pPr>
        <w:spacing w:after="0"/>
        <w:rPr>
          <w:sz w:val="20"/>
          <w:szCs w:val="20"/>
          <w:color w:val="auto"/>
        </w:rPr>
      </w:pPr>
      <w:r>
        <w:rPr>
          <w:rFonts w:ascii="Courier New" w:cs="Courier New" w:eastAsia="Courier New" w:hAnsi="Courier New"/>
          <w:sz w:val="16"/>
          <w:szCs w:val="16"/>
          <w:color w:val="auto"/>
        </w:rPr>
        <w:t>- --------------------------------------------------------------------------------</w:t>
      </w:r>
    </w:p>
    <w:p>
      <w:pPr>
        <w:spacing w:after="0" w:line="352" w:lineRule="exact"/>
        <w:rPr>
          <w:sz w:val="24"/>
          <w:szCs w:val="24"/>
          <w:color w:val="auto"/>
        </w:rPr>
      </w:pPr>
    </w:p>
    <w:p>
      <w:pPr>
        <w:ind w:left="220" w:right="2099" w:hanging="210"/>
        <w:spacing w:after="0" w:line="293"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(I.R.S. Employer incorporation or organization) Identification No.)</w:t>
      </w:r>
    </w:p>
    <w:p>
      <w:pPr>
        <w:spacing w:after="0" w:line="311" w:lineRule="exact"/>
        <w:rPr>
          <w:sz w:val="24"/>
          <w:szCs w:val="24"/>
          <w:color w:val="auto"/>
        </w:rPr>
      </w:pPr>
    </w:p>
    <w:p>
      <w:pPr>
        <w:spacing w:after="0"/>
        <w:tabs>
          <w:tab w:leader="none" w:pos="2520" w:val="left"/>
          <w:tab w:leader="none" w:pos="3780" w:val="left"/>
          <w:tab w:leader="none" w:pos="7360" w:val="left"/>
        </w:tabs>
        <w:rPr>
          <w:sz w:val="20"/>
          <w:szCs w:val="20"/>
          <w:color w:val="auto"/>
        </w:rPr>
      </w:pPr>
      <w:r>
        <w:rPr>
          <w:rFonts w:ascii="Courier New" w:cs="Courier New" w:eastAsia="Courier New" w:hAnsi="Courier New"/>
          <w:sz w:val="18"/>
          <w:szCs w:val="18"/>
          <w:color w:val="auto"/>
        </w:rPr>
        <w:t>11525 Stonehollow Dr.,</w:t>
        <w:tab/>
        <w:t>Suite 110,</w:t>
        <w:tab/>
        <w:t>Austin, Texas</w:t>
      </w:r>
      <w:r>
        <w:rPr>
          <w:sz w:val="20"/>
          <w:szCs w:val="20"/>
          <w:color w:val="auto"/>
        </w:rPr>
        <w:tab/>
      </w:r>
      <w:r>
        <w:rPr>
          <w:rFonts w:ascii="Courier New" w:cs="Courier New" w:eastAsia="Courier New" w:hAnsi="Courier New"/>
          <w:sz w:val="16"/>
          <w:szCs w:val="16"/>
          <w:color w:val="auto"/>
        </w:rPr>
        <w:t>78758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4"/>
          <w:szCs w:val="24"/>
          <w:color w:val="auto"/>
        </w:rPr>
      </w:pPr>
    </w:p>
    <w:p>
      <w:pPr>
        <w:ind w:left="4020" w:hanging="641"/>
        <w:spacing w:after="0"/>
        <w:tabs>
          <w:tab w:leader="none" w:pos="4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836-6464</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(Former name, former address and former fiscal year, if changed since last</w:t>
      </w:r>
    </w:p>
    <w:p>
      <w:pPr>
        <w:jc w:val="center"/>
        <w:ind w:right="1879"/>
        <w:spacing w:after="0"/>
        <w:rPr>
          <w:sz w:val="20"/>
          <w:szCs w:val="20"/>
          <w:color w:val="auto"/>
        </w:rPr>
      </w:pPr>
      <w:r>
        <w:rPr>
          <w:rFonts w:ascii="Courier New" w:cs="Courier New" w:eastAsia="Courier New" w:hAnsi="Courier New"/>
          <w:sz w:val="18"/>
          <w:szCs w:val="18"/>
          <w:color w:val="auto"/>
        </w:rPr>
        <w:t>report)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check</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mark</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whether the registrant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(1) has filed</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all reports</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Sections 13</w:t>
            </w:r>
          </w:p>
        </w:tc>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or 15(d) of the Securities</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Exchange Act of</w:t>
            </w:r>
          </w:p>
        </w:tc>
      </w:tr>
      <w:tr>
        <w:trPr>
          <w:trHeight w:val="0"/>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1934 during</w:t>
            </w:r>
          </w:p>
        </w:tc>
        <w:tc>
          <w:tcPr>
            <w:tcW w:w="14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the preceding</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12 months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(or for such</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shorter period that the</w:t>
            </w:r>
          </w:p>
        </w:tc>
      </w:tr>
    </w:tbl>
    <w:p>
      <w:pPr>
        <w:spacing w:after="0" w:line="203"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registrant was required to file such reports), and (2) has been subject to such filing requirements for the past 90 days. [X] Yes [_] No</w:t>
      </w:r>
    </w:p>
    <w:p>
      <w:pPr>
        <w:spacing w:after="0" w:line="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1" w:lineRule="exact"/>
        <w:rPr>
          <w:sz w:val="24"/>
          <w:szCs w:val="24"/>
          <w:color w:val="auto"/>
        </w:rPr>
      </w:pPr>
    </w:p>
    <w:p>
      <w:pPr>
        <w:ind w:left="540" w:right="1779"/>
        <w:spacing w:after="0" w:line="247"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 The number of shares of common stock as of March 31, 2001 was 39,545,535 with a par value of $.001 per share.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2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6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ACTIVE POWER, INC.</w:t>
            </w:r>
          </w:p>
        </w:tc>
        <w:tc>
          <w:tcPr>
            <w:tcW w:w="320" w:type="dxa"/>
            <w:vAlign w:val="bottom"/>
          </w:tcPr>
          <w:p>
            <w:pPr>
              <w:spacing w:after="0"/>
              <w:rPr>
                <w:sz w:val="17"/>
                <w:szCs w:val="17"/>
                <w:color w:val="auto"/>
              </w:rPr>
            </w:pPr>
          </w:p>
        </w:tc>
      </w:tr>
      <w:tr>
        <w:trPr>
          <w:trHeight w:val="296"/>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INDEX</w:t>
            </w:r>
          </w:p>
        </w:tc>
        <w:tc>
          <w:tcPr>
            <w:tcW w:w="320" w:type="dxa"/>
            <w:vAlign w:val="bottom"/>
          </w:tcPr>
          <w:p>
            <w:pPr>
              <w:spacing w:after="0"/>
              <w:rPr>
                <w:sz w:val="24"/>
                <w:szCs w:val="24"/>
                <w:color w:val="auto"/>
              </w:rPr>
            </w:pPr>
          </w:p>
        </w:tc>
      </w:tr>
      <w:tr>
        <w:trPr>
          <w:trHeight w:val="717"/>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5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Financial Statements..................................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6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BALANCE SHEETS.................................................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STATEMENT OF OPERATIONS........................................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STATEMENT OF CASH FLOWS........................................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Notes</w:t>
            </w:r>
          </w:p>
        </w:tc>
        <w:tc>
          <w:tcPr>
            <w:tcW w:w="6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 Financial Statements..................................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Liquidity and Capital Resources................................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Quantitative and Qualitative Disclosures About Market Risk.....</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Risk Factors That May Affect Future Results....................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Legal Proceedings....................................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5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Changes in Securities and Use of Proceeds.............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5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Defaults Upon Senior 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5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Submission of Matters to a Vote of Security Holders...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5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Other Information.....................................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96"/>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Item</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5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Exhibits and Reports on Form 8-K......................</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bl>
    <w:p>
      <w:pPr>
        <w:spacing w:after="0" w:line="200" w:lineRule="exact"/>
        <w:rPr>
          <w:sz w:val="20"/>
          <w:szCs w:val="20"/>
          <w:color w:val="auto"/>
        </w:rPr>
      </w:pPr>
    </w:p>
    <w:p>
      <w:pPr>
        <w:spacing w:after="0" w:line="31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099"/>
          </w:cols>
          <w:pgMar w:left="360" w:top="6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ACTIVE POWER, INC.</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BALANCE SHEETS</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5420" w:type="dxa"/>
            <w:vAlign w:val="bottom"/>
          </w:tcPr>
          <w:p>
            <w:pPr>
              <w:ind w:left="3360"/>
              <w:spacing w:after="0"/>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2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2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4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$100,123</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$ 92,720</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18,542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42,541</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3,648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1,934</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Inventories, net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4,032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2,343</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1,220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1,177</w:t>
            </w:r>
          </w:p>
        </w:tc>
        <w:tc>
          <w:tcPr>
            <w:tcW w:w="0" w:type="dxa"/>
            <w:vAlign w:val="bottom"/>
          </w:tcPr>
          <w:p>
            <w:pPr>
              <w:spacing w:after="0"/>
              <w:rPr>
                <w:sz w:val="1"/>
                <w:szCs w:val="1"/>
                <w:color w:val="auto"/>
              </w:rPr>
            </w:pPr>
          </w:p>
        </w:tc>
      </w:tr>
      <w:tr>
        <w:trPr>
          <w:trHeight w:val="203"/>
        </w:trPr>
        <w:tc>
          <w:tcPr>
            <w:tcW w:w="5420" w:type="dxa"/>
            <w:vAlign w:val="bottom"/>
            <w:vMerge w:val="restart"/>
          </w:tcPr>
          <w:p>
            <w:pPr>
              <w:ind w:left="1360"/>
              <w:spacing w:after="0"/>
              <w:rPr>
                <w:sz w:val="20"/>
                <w:szCs w:val="20"/>
                <w:color w:val="auto"/>
              </w:rPr>
            </w:pPr>
            <w:r>
              <w:rPr>
                <w:rFonts w:ascii="Courier New" w:cs="Courier New" w:eastAsia="Courier New" w:hAnsi="Courier New"/>
                <w:sz w:val="18"/>
                <w:szCs w:val="18"/>
                <w:color w:val="auto"/>
              </w:rPr>
              <w:t>Total current assets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127,565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140,715</w:t>
            </w:r>
          </w:p>
        </w:tc>
        <w:tc>
          <w:tcPr>
            <w:tcW w:w="0" w:type="dxa"/>
            <w:vAlign w:val="bottom"/>
          </w:tcPr>
          <w:p>
            <w:pPr>
              <w:spacing w:after="0"/>
              <w:rPr>
                <w:sz w:val="1"/>
                <w:szCs w:val="1"/>
                <w:color w:val="auto"/>
              </w:rPr>
            </w:pP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5,518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4,469</w:t>
            </w:r>
          </w:p>
        </w:tc>
        <w:tc>
          <w:tcPr>
            <w:tcW w:w="0" w:type="dxa"/>
            <w:vAlign w:val="bottom"/>
          </w:tcPr>
          <w:p>
            <w:pPr>
              <w:spacing w:after="0"/>
              <w:rPr>
                <w:sz w:val="1"/>
                <w:szCs w:val="1"/>
                <w:color w:val="auto"/>
              </w:rPr>
            </w:pP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18,344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10,948</w:t>
            </w:r>
          </w:p>
        </w:tc>
        <w:tc>
          <w:tcPr>
            <w:tcW w:w="0" w:type="dxa"/>
            <w:vAlign w:val="bottom"/>
          </w:tcPr>
          <w:p>
            <w:pPr>
              <w:spacing w:after="0"/>
              <w:rPr>
                <w:sz w:val="1"/>
                <w:szCs w:val="1"/>
                <w:color w:val="auto"/>
              </w:rPr>
            </w:pPr>
          </w:p>
        </w:tc>
      </w:tr>
      <w:tr>
        <w:trPr>
          <w:trHeight w:val="203"/>
        </w:trPr>
        <w:tc>
          <w:tcPr>
            <w:tcW w:w="5420" w:type="dxa"/>
            <w:vAlign w:val="bottom"/>
            <w:vMerge w:val="restart"/>
          </w:tcPr>
          <w:p>
            <w:pPr>
              <w:ind w:left="1880"/>
              <w:spacing w:after="0"/>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$151,427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$156,132</w:t>
            </w:r>
          </w:p>
        </w:tc>
        <w:tc>
          <w:tcPr>
            <w:tcW w:w="0" w:type="dxa"/>
            <w:vAlign w:val="bottom"/>
          </w:tcPr>
          <w:p>
            <w:pPr>
              <w:spacing w:after="0"/>
              <w:rPr>
                <w:sz w:val="1"/>
                <w:szCs w:val="1"/>
                <w:color w:val="auto"/>
              </w:rPr>
            </w:pPr>
          </w:p>
        </w:tc>
      </w:tr>
      <w:tr>
        <w:trPr>
          <w:trHeight w:val="296"/>
        </w:trPr>
        <w:tc>
          <w:tcPr>
            <w:tcW w:w="5420" w:type="dxa"/>
            <w:vAlign w:val="bottom"/>
          </w:tcPr>
          <w:p>
            <w:pPr>
              <w:spacing w:after="0"/>
              <w:rPr>
                <w:sz w:val="24"/>
                <w:szCs w:val="24"/>
                <w:color w:val="auto"/>
              </w:rPr>
            </w:pP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4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2,836</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2,133</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1,540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1,610</w:t>
            </w:r>
          </w:p>
        </w:tc>
        <w:tc>
          <w:tcPr>
            <w:tcW w:w="0" w:type="dxa"/>
            <w:vAlign w:val="bottom"/>
          </w:tcPr>
          <w:p>
            <w:pPr>
              <w:spacing w:after="0"/>
              <w:rPr>
                <w:sz w:val="1"/>
                <w:szCs w:val="1"/>
                <w:color w:val="auto"/>
              </w:rPr>
            </w:pPr>
          </w:p>
        </w:tc>
      </w:tr>
      <w:tr>
        <w:trPr>
          <w:trHeight w:val="203"/>
        </w:trPr>
        <w:tc>
          <w:tcPr>
            <w:tcW w:w="5420" w:type="dxa"/>
            <w:vAlign w:val="bottom"/>
            <w:vMerge w:val="restart"/>
          </w:tcPr>
          <w:p>
            <w:pPr>
              <w:ind w:left="1360"/>
              <w:spacing w:after="0"/>
              <w:rPr>
                <w:sz w:val="20"/>
                <w:szCs w:val="20"/>
                <w:color w:val="auto"/>
              </w:rPr>
            </w:pPr>
            <w:r>
              <w:rPr>
                <w:rFonts w:ascii="Courier New" w:cs="Courier New" w:eastAsia="Courier New" w:hAnsi="Courier New"/>
                <w:sz w:val="18"/>
                <w:szCs w:val="18"/>
                <w:color w:val="auto"/>
              </w:rPr>
              <w:t>Total current liabilities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20" w:type="dxa"/>
            <w:vAlign w:val="bottom"/>
            <w:vMerge w:val="continue"/>
          </w:tcPr>
          <w:p>
            <w:pPr>
              <w:spacing w:after="0"/>
              <w:rPr>
                <w:sz w:val="24"/>
                <w:szCs w:val="24"/>
                <w:color w:val="auto"/>
              </w:rPr>
            </w:pP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4,376</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3,743</w:t>
            </w:r>
          </w:p>
        </w:tc>
        <w:tc>
          <w:tcPr>
            <w:tcW w:w="0" w:type="dxa"/>
            <w:vAlign w:val="bottom"/>
          </w:tcPr>
          <w:p>
            <w:pPr>
              <w:spacing w:after="0"/>
              <w:rPr>
                <w:sz w:val="1"/>
                <w:szCs w:val="1"/>
                <w:color w:val="auto"/>
              </w:rPr>
            </w:pPr>
          </w:p>
        </w:tc>
      </w:tr>
      <w:tr>
        <w:trPr>
          <w:trHeight w:val="311"/>
        </w:trPr>
        <w:tc>
          <w:tcPr>
            <w:tcW w:w="54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1992 preferred stock</w:t>
            </w:r>
          </w:p>
        </w:tc>
        <w:tc>
          <w:tcPr>
            <w:tcW w:w="14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 stock</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Treasury stock</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Deferred stock compensation</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(5,553)</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(7,519)</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212,012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212,601</w:t>
            </w:r>
          </w:p>
        </w:tc>
        <w:tc>
          <w:tcPr>
            <w:tcW w:w="0" w:type="dxa"/>
            <w:vAlign w:val="bottom"/>
          </w:tcPr>
          <w:p>
            <w:pPr>
              <w:spacing w:after="0"/>
              <w:rPr>
                <w:sz w:val="1"/>
                <w:szCs w:val="1"/>
                <w:color w:val="auto"/>
              </w:rPr>
            </w:pPr>
          </w:p>
        </w:tc>
      </w:tr>
      <w:tr>
        <w:trPr>
          <w:trHeight w:val="203"/>
        </w:trPr>
        <w:tc>
          <w:tcPr>
            <w:tcW w:w="5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(59,445)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(52,730)</w:t>
            </w:r>
          </w:p>
        </w:tc>
        <w:tc>
          <w:tcPr>
            <w:tcW w:w="0" w:type="dxa"/>
            <w:vAlign w:val="bottom"/>
          </w:tcPr>
          <w:p>
            <w:pPr>
              <w:spacing w:after="0"/>
              <w:rPr>
                <w:sz w:val="1"/>
                <w:szCs w:val="1"/>
                <w:color w:val="auto"/>
              </w:rPr>
            </w:pPr>
          </w:p>
        </w:tc>
      </w:tr>
      <w:tr>
        <w:trPr>
          <w:trHeight w:val="203"/>
        </w:trPr>
        <w:tc>
          <w:tcPr>
            <w:tcW w:w="542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Total stockholders' equity</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147,051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152,389</w:t>
            </w:r>
          </w:p>
        </w:tc>
        <w:tc>
          <w:tcPr>
            <w:tcW w:w="0" w:type="dxa"/>
            <w:vAlign w:val="bottom"/>
          </w:tcPr>
          <w:p>
            <w:pPr>
              <w:spacing w:after="0"/>
              <w:rPr>
                <w:sz w:val="1"/>
                <w:szCs w:val="1"/>
                <w:color w:val="auto"/>
              </w:rPr>
            </w:pPr>
          </w:p>
        </w:tc>
      </w:tr>
      <w:tr>
        <w:trPr>
          <w:trHeight w:val="203"/>
        </w:trPr>
        <w:tc>
          <w:tcPr>
            <w:tcW w:w="542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151,427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$156,132</w:t>
            </w:r>
          </w:p>
        </w:tc>
        <w:tc>
          <w:tcPr>
            <w:tcW w:w="0" w:type="dxa"/>
            <w:vAlign w:val="bottom"/>
          </w:tcPr>
          <w:p>
            <w:pPr>
              <w:spacing w:after="0"/>
              <w:rPr>
                <w:sz w:val="1"/>
                <w:szCs w:val="1"/>
                <w:color w:val="auto"/>
              </w:rPr>
            </w:pPr>
          </w:p>
        </w:tc>
      </w:tr>
      <w:tr>
        <w:trPr>
          <w:trHeight w:val="296"/>
        </w:trPr>
        <w:tc>
          <w:tcPr>
            <w:tcW w:w="5420" w:type="dxa"/>
            <w:vAlign w:val="bottom"/>
          </w:tcPr>
          <w:p>
            <w:pPr>
              <w:spacing w:after="0"/>
              <w:rPr>
                <w:sz w:val="24"/>
                <w:szCs w:val="24"/>
                <w:color w:val="auto"/>
              </w:rPr>
            </w:pP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 OF OPERATIONS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3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2001</w:t>
            </w:r>
          </w:p>
        </w:tc>
        <w:tc>
          <w:tcPr>
            <w:tcW w:w="6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060" w:type="dxa"/>
            <w:vAlign w:val="bottom"/>
            <w:gridSpan w:val="2"/>
            <w:vMerge w:val="restart"/>
          </w:tcPr>
          <w:p>
            <w:pPr>
              <w:ind w:left="220"/>
              <w:spacing w:after="0"/>
              <w:rPr>
                <w:sz w:val="20"/>
                <w:szCs w:val="20"/>
                <w:color w:val="auto"/>
              </w:rPr>
            </w:pPr>
            <w:r>
              <w:rPr>
                <w:rFonts w:ascii="Courier New" w:cs="Courier New" w:eastAsia="Courier New" w:hAnsi="Courier New"/>
                <w:sz w:val="17"/>
                <w:szCs w:val="17"/>
                <w:color w:val="auto"/>
                <w:w w:val="70"/>
              </w:rPr>
              <w:t>(unaudited)</w:t>
            </w:r>
            <w:r>
              <w:rPr>
                <w:rFonts w:ascii="Courier New" w:cs="Courier New" w:eastAsia="Courier New" w:hAnsi="Courier New"/>
                <w:sz w:val="33"/>
                <w:szCs w:val="33"/>
                <w:color w:val="auto"/>
                <w:w w:val="70"/>
                <w:vertAlign w:val="superscript"/>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674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8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(unaudited)</w:t>
            </w:r>
          </w:p>
        </w:tc>
        <w:tc>
          <w:tcPr>
            <w:tcW w:w="0" w:type="dxa"/>
            <w:vAlign w:val="bottom"/>
          </w:tcPr>
          <w:p>
            <w:pPr>
              <w:spacing w:after="0"/>
              <w:rPr>
                <w:sz w:val="1"/>
                <w:szCs w:val="1"/>
                <w:color w:val="auto"/>
              </w:rPr>
            </w:pPr>
          </w:p>
        </w:tc>
      </w:tr>
      <w:tr>
        <w:trPr>
          <w:trHeight w:val="295"/>
        </w:trPr>
        <w:tc>
          <w:tcPr>
            <w:tcW w:w="6740" w:type="dxa"/>
            <w:vAlign w:val="bottom"/>
          </w:tcPr>
          <w:p>
            <w:pPr>
              <w:spacing w:after="0"/>
              <w:rPr>
                <w:sz w:val="20"/>
                <w:szCs w:val="20"/>
                <w:color w:val="auto"/>
              </w:rPr>
            </w:pPr>
            <w:r>
              <w:rPr>
                <w:rFonts w:ascii="Courier New" w:cs="Courier New" w:eastAsia="Courier New" w:hAnsi="Courier New"/>
                <w:sz w:val="18"/>
                <w:szCs w:val="18"/>
                <w:color w:val="auto"/>
              </w:rPr>
              <w:t>Product revenue</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5,107</w:t>
            </w:r>
          </w:p>
        </w:tc>
        <w:tc>
          <w:tcPr>
            <w:tcW w:w="680" w:type="dxa"/>
            <w:vAlign w:val="bottom"/>
          </w:tcPr>
          <w:p>
            <w:pPr>
              <w:ind w:left="5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6,513</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w:t>
            </w: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Product margin (loss)</w:t>
            </w:r>
          </w:p>
        </w:tc>
        <w:tc>
          <w:tcPr>
            <w:tcW w:w="320" w:type="dxa"/>
            <w:vAlign w:val="bottom"/>
          </w:tcPr>
          <w:p>
            <w:pPr>
              <w:ind w:left="220"/>
              <w:spacing w:after="0"/>
              <w:rPr>
                <w:sz w:val="20"/>
                <w:szCs w:val="20"/>
                <w:color w:val="auto"/>
              </w:rPr>
            </w:pPr>
            <w:r>
              <w:rPr>
                <w:rFonts w:ascii="Courier New" w:cs="Courier New" w:eastAsia="Courier New" w:hAnsi="Courier New"/>
                <w:sz w:val="1"/>
                <w:szCs w:val="1"/>
                <w:color w:val="auto"/>
              </w:rPr>
              <w:t>-----------</w:t>
            </w:r>
          </w:p>
        </w:tc>
        <w:tc>
          <w:tcPr>
            <w:tcW w:w="17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(1,406)</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(339)</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174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3,543</w:t>
            </w:r>
          </w:p>
        </w:tc>
        <w:tc>
          <w:tcPr>
            <w:tcW w:w="68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1,463</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2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2,741</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1,098</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 stock compensation</w:t>
            </w:r>
          </w:p>
        </w:tc>
        <w:tc>
          <w:tcPr>
            <w:tcW w:w="3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1,287</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1,281</w:t>
            </w: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Total operating expenses</w:t>
            </w:r>
          </w:p>
        </w:tc>
        <w:tc>
          <w:tcPr>
            <w:tcW w:w="320" w:type="dxa"/>
            <w:vAlign w:val="bottom"/>
          </w:tcPr>
          <w:p>
            <w:pPr>
              <w:ind w:left="220"/>
              <w:spacing w:after="0"/>
              <w:rPr>
                <w:sz w:val="20"/>
                <w:szCs w:val="20"/>
                <w:color w:val="auto"/>
              </w:rPr>
            </w:pPr>
            <w:r>
              <w:rPr>
                <w:rFonts w:ascii="Courier New" w:cs="Courier New" w:eastAsia="Courier New" w:hAnsi="Courier New"/>
                <w:sz w:val="1"/>
                <w:szCs w:val="1"/>
                <w:color w:val="auto"/>
              </w:rPr>
              <w:t>-----------</w:t>
            </w:r>
          </w:p>
        </w:tc>
        <w:tc>
          <w:tcPr>
            <w:tcW w:w="174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7,571</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3,842</w:t>
            </w: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loss</w:t>
            </w:r>
          </w:p>
        </w:tc>
        <w:tc>
          <w:tcPr>
            <w:tcW w:w="320" w:type="dxa"/>
            <w:vAlign w:val="bottom"/>
          </w:tcPr>
          <w:p>
            <w:pPr>
              <w:ind w:left="220"/>
              <w:spacing w:after="0"/>
              <w:rPr>
                <w:sz w:val="20"/>
                <w:szCs w:val="20"/>
                <w:color w:val="auto"/>
              </w:rPr>
            </w:pPr>
            <w:r>
              <w:rPr>
                <w:rFonts w:ascii="Courier New" w:cs="Courier New" w:eastAsia="Courier New" w:hAnsi="Courier New"/>
                <w:sz w:val="1"/>
                <w:szCs w:val="1"/>
                <w:color w:val="auto"/>
              </w:rPr>
              <w:t>-----------</w:t>
            </w:r>
          </w:p>
        </w:tc>
        <w:tc>
          <w:tcPr>
            <w:tcW w:w="17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(8,977)</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(4,181)</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24"/>
                <w:szCs w:val="24"/>
                <w:color w:val="auto"/>
              </w:rPr>
            </w:pP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2,238</w:t>
            </w:r>
          </w:p>
        </w:tc>
        <w:tc>
          <w:tcPr>
            <w:tcW w:w="6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370</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fair value of warrants with redemption rights</w:t>
            </w:r>
          </w:p>
        </w:tc>
        <w:tc>
          <w:tcPr>
            <w:tcW w:w="3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206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(6,715)</w:t>
            </w:r>
          </w:p>
        </w:tc>
        <w:tc>
          <w:tcPr>
            <w:tcW w:w="680" w:type="dxa"/>
            <w:vAlign w:val="bottom"/>
          </w:tcPr>
          <w:p>
            <w:pPr>
              <w:ind w:left="5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(4,857)</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dividends and accretion</w:t>
            </w:r>
          </w:p>
        </w:tc>
        <w:tc>
          <w:tcPr>
            <w:tcW w:w="3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(7,231)</w:t>
            </w: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to common shareholders</w:t>
            </w:r>
          </w:p>
        </w:tc>
        <w:tc>
          <w:tcPr>
            <w:tcW w:w="32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7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(6,715)</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(12,088)</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206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Net loss per share - basic and diluted</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(0.17)</w:t>
            </w:r>
          </w:p>
        </w:tc>
        <w:tc>
          <w:tcPr>
            <w:tcW w:w="680" w:type="dxa"/>
            <w:vAlign w:val="bottom"/>
          </w:tcPr>
          <w:p>
            <w:pPr>
              <w:ind w:left="5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0"/>
                <w:szCs w:val="20"/>
                <w:color w:val="auto"/>
              </w:rPr>
            </w:pPr>
            <w:r>
              <w:rPr>
                <w:rFonts w:ascii="Courier New" w:cs="Courier New" w:eastAsia="Courier New" w:hAnsi="Courier New"/>
                <w:sz w:val="18"/>
                <w:szCs w:val="18"/>
                <w:color w:val="auto"/>
              </w:rPr>
              <w:t>Shares used in computing net loss per share, basic and diluted</w:t>
            </w:r>
          </w:p>
        </w:tc>
        <w:tc>
          <w:tcPr>
            <w:tcW w:w="320" w:type="dxa"/>
            <w:vAlign w:val="bottom"/>
          </w:tcPr>
          <w:p>
            <w:pPr>
              <w:spacing w:after="0"/>
              <w:rPr>
                <w:sz w:val="24"/>
                <w:szCs w:val="24"/>
                <w:color w:val="auto"/>
              </w:rPr>
            </w:pP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38,906,882</w:t>
            </w:r>
          </w:p>
        </w:tc>
        <w:tc>
          <w:tcPr>
            <w:tcW w:w="6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10,555,748</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640"/>
          </w:cols>
          <w:pgMar w:left="240" w:top="691" w:right="1019"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4"/>
                <w:szCs w:val="24"/>
                <w:color w:val="auto"/>
              </w:rPr>
            </w:pPr>
          </w:p>
        </w:tc>
        <w:tc>
          <w:tcPr>
            <w:tcW w:w="6320" w:type="dxa"/>
            <w:vAlign w:val="bottom"/>
          </w:tcPr>
          <w:p>
            <w:pPr>
              <w:ind w:left="2520"/>
              <w:spacing w:after="0"/>
              <w:rPr>
                <w:sz w:val="20"/>
                <w:szCs w:val="20"/>
                <w:color w:val="auto"/>
              </w:rPr>
            </w:pPr>
            <w:r>
              <w:rPr>
                <w:rFonts w:ascii="Courier New" w:cs="Courier New" w:eastAsia="Courier New" w:hAnsi="Courier New"/>
                <w:sz w:val="18"/>
                <w:szCs w:val="18"/>
                <w:color w:val="auto"/>
              </w:rPr>
              <w:t>(in thousands)</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9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0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2001</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(unaudited)</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(unaudited)</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Operating</w:t>
            </w: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rPr>
              <w:t>activities</w:t>
            </w:r>
          </w:p>
        </w:tc>
        <w:tc>
          <w:tcPr>
            <w:tcW w:w="22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 (6,715)</w:t>
            </w:r>
          </w:p>
        </w:tc>
        <w:tc>
          <w:tcPr>
            <w:tcW w:w="1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$(4,857)</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Adjustment to reconcile net loss to cash used in</w:t>
            </w:r>
          </w:p>
        </w:tc>
        <w:tc>
          <w:tcPr>
            <w:tcW w:w="22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6320" w:type="dxa"/>
            <w:vAlign w:val="bottom"/>
            <w:vMerge w:val="continue"/>
          </w:tcPr>
          <w:p>
            <w:pPr>
              <w:spacing w:after="0"/>
              <w:rPr>
                <w:sz w:val="9"/>
                <w:szCs w:val="9"/>
                <w:color w:val="auto"/>
              </w:rPr>
            </w:pPr>
          </w:p>
        </w:tc>
        <w:tc>
          <w:tcPr>
            <w:tcW w:w="2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26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500</w:t>
            </w:r>
          </w:p>
        </w:tc>
        <w:tc>
          <w:tcPr>
            <w:tcW w:w="17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154</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w:t>
            </w:r>
          </w:p>
        </w:tc>
        <w:tc>
          <w:tcPr>
            <w:tcW w:w="22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 stock compensation</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1,287</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1,281</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fair value of warrants with redemption rights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1,042</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22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(1,714)</w:t>
            </w:r>
          </w:p>
        </w:tc>
        <w:tc>
          <w:tcPr>
            <w:tcW w:w="1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(158)</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2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Inventories, net</w:t>
            </w: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(1,689)</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(653)</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704</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464</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Accrued expenses</w:t>
            </w: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(71)</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Net cash</w:t>
            </w:r>
          </w:p>
        </w:tc>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used in operating activities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96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2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(8,351)</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(2,504)</w:t>
            </w:r>
          </w:p>
        </w:tc>
        <w:tc>
          <w:tcPr>
            <w:tcW w:w="0" w:type="dxa"/>
            <w:vAlign w:val="bottom"/>
          </w:tcPr>
          <w:p>
            <w:pPr>
              <w:spacing w:after="0"/>
              <w:rPr>
                <w:sz w:val="1"/>
                <w:szCs w:val="1"/>
                <w:color w:val="auto"/>
              </w:rPr>
            </w:pPr>
          </w:p>
        </w:tc>
      </w:tr>
      <w:tr>
        <w:trPr>
          <w:trHeight w:val="311"/>
        </w:trPr>
        <w:tc>
          <w:tcPr>
            <w:tcW w:w="7280" w:type="dxa"/>
            <w:vAlign w:val="bottom"/>
            <w:gridSpan w:val="2"/>
          </w:tcPr>
          <w:p>
            <w:pPr>
              <w:spacing w:after="0"/>
              <w:rPr>
                <w:sz w:val="20"/>
                <w:szCs w:val="20"/>
                <w:color w:val="auto"/>
              </w:rPr>
            </w:pPr>
            <w:r>
              <w:rPr>
                <w:rFonts w:ascii="Courier New" w:cs="Courier New" w:eastAsia="Courier New" w:hAnsi="Courier New"/>
                <w:sz w:val="18"/>
                <w:szCs w:val="18"/>
                <w:color w:val="auto"/>
              </w:rPr>
              <w:t>Investing activities</w:t>
            </w:r>
          </w:p>
        </w:tc>
        <w:tc>
          <w:tcPr>
            <w:tcW w:w="22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(1,549)</w:t>
            </w:r>
          </w:p>
        </w:tc>
        <w:tc>
          <w:tcPr>
            <w:tcW w:w="1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(589)</w:t>
            </w: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22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maturity (purchase) of investments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16,603</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(3,345)</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Net cash</w:t>
            </w:r>
          </w:p>
        </w:tc>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provided by (used in) investing activities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96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22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15,054</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(3,934)</w:t>
            </w:r>
          </w:p>
        </w:tc>
        <w:tc>
          <w:tcPr>
            <w:tcW w:w="0" w:type="dxa"/>
            <w:vAlign w:val="bottom"/>
          </w:tcPr>
          <w:p>
            <w:pPr>
              <w:spacing w:after="0"/>
              <w:rPr>
                <w:sz w:val="1"/>
                <w:szCs w:val="1"/>
                <w:color w:val="auto"/>
              </w:rPr>
            </w:pPr>
          </w:p>
        </w:tc>
      </w:tr>
      <w:tr>
        <w:trPr>
          <w:trHeight w:val="311"/>
        </w:trPr>
        <w:tc>
          <w:tcPr>
            <w:tcW w:w="7280" w:type="dxa"/>
            <w:vAlign w:val="bottom"/>
            <w:gridSpan w:val="2"/>
          </w:tcPr>
          <w:p>
            <w:pPr>
              <w:spacing w:after="0"/>
              <w:rPr>
                <w:sz w:val="20"/>
                <w:szCs w:val="20"/>
                <w:color w:val="auto"/>
              </w:rPr>
            </w:pPr>
            <w:r>
              <w:rPr>
                <w:rFonts w:ascii="Courier New" w:cs="Courier New" w:eastAsia="Courier New" w:hAnsi="Courier New"/>
                <w:sz w:val="18"/>
                <w:szCs w:val="18"/>
                <w:color w:val="auto"/>
              </w:rPr>
              <w:t>Financing activities</w:t>
            </w:r>
          </w:p>
        </w:tc>
        <w:tc>
          <w:tcPr>
            <w:tcW w:w="226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700</w:t>
            </w:r>
          </w:p>
        </w:tc>
        <w:tc>
          <w:tcPr>
            <w:tcW w:w="17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243</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issuance of common stock, net of issuance costs</w:t>
            </w:r>
          </w:p>
        </w:tc>
        <w:tc>
          <w:tcPr>
            <w:tcW w:w="226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on notes payable</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Net cash</w:t>
            </w:r>
          </w:p>
        </w:tc>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provided by financing activities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320" w:type="dxa"/>
            <w:vAlign w:val="bottom"/>
            <w:vMerge w:val="continue"/>
          </w:tcPr>
          <w:p>
            <w:pPr>
              <w:spacing w:after="0"/>
              <w:rPr>
                <w:sz w:val="17"/>
                <w:szCs w:val="17"/>
                <w:color w:val="auto"/>
              </w:rPr>
            </w:pP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700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Increase</w:t>
            </w:r>
          </w:p>
        </w:tc>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in cash and cash equivalents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320" w:type="dxa"/>
            <w:vAlign w:val="bottom"/>
            <w:vMerge w:val="continue"/>
          </w:tcPr>
          <w:p>
            <w:pPr>
              <w:spacing w:after="0"/>
              <w:rPr>
                <w:sz w:val="17"/>
                <w:szCs w:val="17"/>
                <w:color w:val="auto"/>
              </w:rPr>
            </w:pP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7,403</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(6,250)</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 beginning of period</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92,720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24,856</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Cash and</w:t>
            </w:r>
          </w:p>
        </w:tc>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cash equivalents, end of period</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320" w:type="dxa"/>
            <w:vAlign w:val="bottom"/>
            <w:vMerge w:val="continue"/>
          </w:tcPr>
          <w:p>
            <w:pPr>
              <w:spacing w:after="0"/>
              <w:rPr>
                <w:sz w:val="17"/>
                <w:szCs w:val="17"/>
                <w:color w:val="auto"/>
              </w:rPr>
            </w:pP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$100,123</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$18,606</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See</w:t>
            </w: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accompanying notes.</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6320" w:type="dxa"/>
            <w:vAlign w:val="bottom"/>
          </w:tcPr>
          <w:p>
            <w:pPr>
              <w:ind w:left="3160"/>
              <w:spacing w:after="0"/>
              <w:rPr>
                <w:sz w:val="20"/>
                <w:szCs w:val="20"/>
                <w:color w:val="auto"/>
              </w:rPr>
            </w:pPr>
            <w:r>
              <w:rPr>
                <w:rFonts w:ascii="Courier New" w:cs="Courier New" w:eastAsia="Courier New" w:hAnsi="Courier New"/>
                <w:sz w:val="18"/>
                <w:szCs w:val="18"/>
                <w:color w:val="auto"/>
              </w:rPr>
              <w:t>3</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691" w:right="379" w:bottom="1440" w:gutter="0" w:footer="0" w:header="0"/>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w:t>
      </w:r>
    </w:p>
    <w:p>
      <w:pPr>
        <w:spacing w:after="0" w:line="201" w:lineRule="exact"/>
        <w:rPr>
          <w:sz w:val="20"/>
          <w:szCs w:val="20"/>
          <w:color w:val="auto"/>
        </w:rPr>
      </w:pPr>
    </w:p>
    <w:p>
      <w:pPr>
        <w:ind w:right="1779" w:firstLine="421"/>
        <w:spacing w:after="0" w:line="252" w:lineRule="auto"/>
        <w:rPr>
          <w:sz w:val="20"/>
          <w:szCs w:val="20"/>
          <w:color w:val="auto"/>
        </w:rPr>
      </w:pPr>
      <w:r>
        <w:rPr>
          <w:rFonts w:ascii="Courier New" w:cs="Courier New" w:eastAsia="Courier New" w:hAnsi="Courier New"/>
          <w:sz w:val="18"/>
          <w:szCs w:val="18"/>
          <w:color w:val="auto"/>
        </w:rPr>
        <w:t>Active Power, Inc. was founded in 1992 for the purpose of developing and commercializing advances in the field of electromechanics. Since inception, Active Power has devoted its efforts principally to research and development, production and marketing of flywheel-based power 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99"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1779" w:firstLine="421"/>
        <w:spacing w:after="0" w:line="248" w:lineRule="auto"/>
        <w:rPr>
          <w:sz w:val="20"/>
          <w:szCs w:val="20"/>
          <w:color w:val="auto"/>
        </w:rPr>
      </w:pPr>
      <w:r>
        <w:rPr>
          <w:rFonts w:ascii="Courier New" w:cs="Courier New" w:eastAsia="Courier New" w:hAnsi="Courier New"/>
          <w:sz w:val="18"/>
          <w:szCs w:val="18"/>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ending December 31, 2000.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05"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1" w:lineRule="exact"/>
        <w:rPr>
          <w:sz w:val="20"/>
          <w:szCs w:val="20"/>
          <w:color w:val="auto"/>
        </w:rPr>
      </w:pPr>
    </w:p>
    <w:p>
      <w:pPr>
        <w:ind w:right="2099" w:firstLine="421"/>
        <w:spacing w:after="0" w:line="292" w:lineRule="auto"/>
        <w:rPr>
          <w:sz w:val="20"/>
          <w:szCs w:val="20"/>
          <w:color w:val="auto"/>
        </w:rPr>
      </w:pPr>
      <w:r>
        <w:rPr>
          <w:rFonts w:ascii="Courier New" w:cs="Courier New" w:eastAsia="Courier New" w:hAnsi="Courier New"/>
          <w:sz w:val="18"/>
          <w:szCs w:val="18"/>
          <w:color w:val="auto"/>
        </w:rPr>
        <w:t>Active Power states inventories at the lower of cost or replacement cost, with cost being determined on a standard cost basis which does not differ materially from actual cost.</w:t>
      </w: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Inventories consist of the following:</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2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2620" w:type="dxa"/>
            <w:vAlign w:val="bottom"/>
            <w:vMerge w:val="restart"/>
          </w:tcPr>
          <w:p>
            <w:pPr>
              <w:spacing w:after="0"/>
              <w:rPr>
                <w:sz w:val="20"/>
                <w:szCs w:val="20"/>
                <w:color w:val="auto"/>
              </w:rPr>
            </w:pPr>
            <w:r>
              <w:rPr>
                <w:rFonts w:ascii="Courier New" w:cs="Courier New" w:eastAsia="Courier New" w:hAnsi="Courier New"/>
                <w:sz w:val="18"/>
                <w:szCs w:val="18"/>
                <w:color w:val="auto"/>
              </w:rPr>
              <w:t>Raw Materials</w:t>
            </w:r>
          </w:p>
        </w:tc>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$ 4,629,200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$2,902,224</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622,635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310,330</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40,469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4,981</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Reserves</w:t>
            </w: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(1,260,246)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(874,867)</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$ 4,032,058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$2,342,668</w:t>
            </w:r>
          </w:p>
        </w:tc>
        <w:tc>
          <w:tcPr>
            <w:tcW w:w="0" w:type="dxa"/>
            <w:vAlign w:val="bottom"/>
          </w:tcPr>
          <w:p>
            <w:pPr>
              <w:spacing w:after="0"/>
              <w:rPr>
                <w:sz w:val="1"/>
                <w:szCs w:val="1"/>
                <w:color w:val="auto"/>
              </w:rPr>
            </w:pPr>
          </w:p>
        </w:tc>
      </w:tr>
      <w:tr>
        <w:trPr>
          <w:trHeight w:val="296"/>
        </w:trPr>
        <w:tc>
          <w:tcPr>
            <w:tcW w:w="2620" w:type="dxa"/>
            <w:vAlign w:val="bottom"/>
          </w:tcPr>
          <w:p>
            <w:pPr>
              <w:spacing w:after="0"/>
              <w:rPr>
                <w:sz w:val="24"/>
                <w:szCs w:val="24"/>
                <w:color w:val="auto"/>
              </w:rPr>
            </w:pPr>
          </w:p>
        </w:tc>
        <w:tc>
          <w:tcPr>
            <w:tcW w:w="2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620" w:type="dxa"/>
            <w:vAlign w:val="bottom"/>
          </w:tcPr>
          <w:p>
            <w:pPr>
              <w:spacing w:after="0"/>
              <w:rPr>
                <w:sz w:val="24"/>
                <w:szCs w:val="24"/>
                <w:color w:val="auto"/>
              </w:rPr>
            </w:pP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6" w:name="page7"/>
    <w:bookmarkEnd w:id="6"/>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w:t>
      </w:r>
    </w:p>
    <w:p>
      <w:pPr>
        <w:spacing w:after="0" w:line="201" w:lineRule="exact"/>
        <w:rPr>
          <w:sz w:val="20"/>
          <w:szCs w:val="20"/>
          <w:color w:val="auto"/>
        </w:rPr>
      </w:pPr>
    </w:p>
    <w:p>
      <w:pPr>
        <w:ind w:right="2640" w:firstLine="421"/>
        <w:spacing w:after="0" w:line="347" w:lineRule="auto"/>
        <w:rPr>
          <w:sz w:val="20"/>
          <w:szCs w:val="20"/>
          <w:color w:val="auto"/>
        </w:rPr>
      </w:pPr>
      <w:r>
        <w:rPr>
          <w:rFonts w:ascii="Courier New" w:cs="Courier New" w:eastAsia="Courier New" w:hAnsi="Courier New"/>
          <w:sz w:val="18"/>
          <w:szCs w:val="18"/>
          <w:color w:val="auto"/>
        </w:rPr>
        <w:t>The following table sets forth the computation of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35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35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96"/>
        </w:trPr>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020" w:type="dxa"/>
            <w:vAlign w:val="bottom"/>
          </w:tcPr>
          <w:p>
            <w:pPr>
              <w:spacing w:after="0"/>
              <w:rPr>
                <w:sz w:val="20"/>
                <w:szCs w:val="20"/>
                <w:color w:val="auto"/>
              </w:rPr>
            </w:pPr>
            <w:r>
              <w:rPr>
                <w:rFonts w:ascii="Courier New" w:cs="Courier New" w:eastAsia="Courier New" w:hAnsi="Courier New"/>
                <w:sz w:val="18"/>
                <w:szCs w:val="18"/>
                <w:color w:val="auto"/>
              </w:rPr>
              <w:t>Net loss to common stockholders (thousands)</w:t>
            </w:r>
          </w:p>
        </w:tc>
        <w:tc>
          <w:tcPr>
            <w:tcW w:w="680" w:type="dxa"/>
            <w:vAlign w:val="bottom"/>
          </w:tcPr>
          <w:p>
            <w:pPr>
              <w:ind w:left="580"/>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(12,088)</w:t>
            </w:r>
          </w:p>
        </w:tc>
        <w:tc>
          <w:tcPr>
            <w:tcW w:w="0" w:type="dxa"/>
            <w:vAlign w:val="bottom"/>
          </w:tcPr>
          <w:p>
            <w:pPr>
              <w:spacing w:after="0"/>
              <w:rPr>
                <w:sz w:val="1"/>
                <w:szCs w:val="1"/>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w:t>
            </w:r>
          </w:p>
        </w:tc>
        <w:tc>
          <w:tcPr>
            <w:tcW w:w="680" w:type="dxa"/>
            <w:vAlign w:val="bottom"/>
          </w:tcPr>
          <w:p>
            <w:pPr>
              <w:spacing w:after="0"/>
              <w:rPr>
                <w:sz w:val="17"/>
                <w:szCs w:val="17"/>
                <w:color w:val="auto"/>
              </w:rPr>
            </w:pP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w w:val="96"/>
              </w:rPr>
              <w:t>39,262,431</w:t>
            </w:r>
          </w:p>
        </w:tc>
        <w:tc>
          <w:tcPr>
            <w:tcW w:w="32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10,878,251</w:t>
            </w: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Weighted-average shares of common stock outstanding</w:t>
            </w:r>
          </w:p>
        </w:tc>
        <w:tc>
          <w:tcPr>
            <w:tcW w:w="6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Weighted-average shares of common stock subject to</w:t>
            </w:r>
          </w:p>
        </w:tc>
        <w:tc>
          <w:tcPr>
            <w:tcW w:w="680" w:type="dxa"/>
            <w:vAlign w:val="bottom"/>
          </w:tcPr>
          <w:p>
            <w:pPr>
              <w:spacing w:after="0"/>
              <w:rPr>
                <w:sz w:val="17"/>
                <w:szCs w:val="17"/>
                <w:color w:val="auto"/>
              </w:rPr>
            </w:pP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(355,549)</w:t>
            </w: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(322,503)</w:t>
            </w:r>
          </w:p>
        </w:tc>
        <w:tc>
          <w:tcPr>
            <w:tcW w:w="0" w:type="dxa"/>
            <w:vAlign w:val="bottom"/>
          </w:tcPr>
          <w:p>
            <w:pPr>
              <w:spacing w:after="0"/>
              <w:rPr>
                <w:sz w:val="1"/>
                <w:szCs w:val="1"/>
                <w:color w:val="auto"/>
              </w:rPr>
            </w:pP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repurchase</w:t>
            </w:r>
          </w:p>
        </w:tc>
        <w:tc>
          <w:tcPr>
            <w:tcW w:w="6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vMerge w:val="restart"/>
          </w:tcPr>
          <w:p>
            <w:pPr>
              <w:spacing w:after="0"/>
              <w:rPr>
                <w:sz w:val="20"/>
                <w:szCs w:val="20"/>
                <w:color w:val="auto"/>
              </w:rPr>
            </w:pPr>
            <w:r>
              <w:rPr>
                <w:rFonts w:ascii="Courier New" w:cs="Courier New" w:eastAsia="Courier New" w:hAnsi="Courier New"/>
                <w:sz w:val="18"/>
                <w:szCs w:val="18"/>
                <w:color w:val="auto"/>
              </w:rPr>
              <w:t>Shares used in computing basic and diluted net loss per share</w:t>
            </w: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38,906,882</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10,555,748</w:t>
            </w:r>
          </w:p>
        </w:tc>
        <w:tc>
          <w:tcPr>
            <w:tcW w:w="0" w:type="dxa"/>
            <w:vAlign w:val="bottom"/>
          </w:tcPr>
          <w:p>
            <w:pPr>
              <w:spacing w:after="0"/>
              <w:rPr>
                <w:sz w:val="1"/>
                <w:szCs w:val="1"/>
                <w:color w:val="auto"/>
              </w:rPr>
            </w:pPr>
          </w:p>
        </w:tc>
      </w:tr>
      <w:tr>
        <w:trPr>
          <w:trHeight w:val="203"/>
        </w:trPr>
        <w:tc>
          <w:tcPr>
            <w:tcW w:w="7020" w:type="dxa"/>
            <w:vAlign w:val="bottom"/>
            <w:vMerge w:val="restart"/>
          </w:tcPr>
          <w:p>
            <w:pPr>
              <w:spacing w:after="0"/>
              <w:rPr>
                <w:sz w:val="20"/>
                <w:szCs w:val="20"/>
                <w:color w:val="auto"/>
              </w:rPr>
            </w:pPr>
            <w:r>
              <w:rPr>
                <w:rFonts w:ascii="Courier New" w:cs="Courier New" w:eastAsia="Courier New" w:hAnsi="Courier New"/>
                <w:sz w:val="18"/>
                <w:szCs w:val="18"/>
                <w:color w:val="auto"/>
              </w:rPr>
              <w:t>Basic and diluted net loss per share</w:t>
            </w: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r>
        <w:trPr>
          <w:trHeight w:val="296"/>
        </w:trPr>
        <w:tc>
          <w:tcPr>
            <w:tcW w:w="7020" w:type="dxa"/>
            <w:vAlign w:val="bottom"/>
          </w:tcPr>
          <w:p>
            <w:pPr>
              <w:spacing w:after="0"/>
              <w:rPr>
                <w:sz w:val="24"/>
                <w:szCs w:val="24"/>
                <w:color w:val="auto"/>
              </w:rPr>
            </w:pPr>
          </w:p>
        </w:tc>
        <w:tc>
          <w:tcPr>
            <w:tcW w:w="20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7020" w:type="dxa"/>
            <w:vAlign w:val="bottom"/>
          </w:tcPr>
          <w:p>
            <w:pPr>
              <w:ind w:left="4120"/>
              <w:spacing w:after="0"/>
              <w:rPr>
                <w:sz w:val="20"/>
                <w:szCs w:val="20"/>
                <w:color w:val="auto"/>
              </w:rPr>
            </w:pPr>
            <w:r>
              <w:rPr>
                <w:rFonts w:ascii="Courier New" w:cs="Courier New" w:eastAsia="Courier New" w:hAnsi="Courier New"/>
                <w:sz w:val="18"/>
                <w:szCs w:val="18"/>
                <w:color w:val="auto"/>
              </w:rPr>
              <w:t>5</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691" w:right="1119" w:bottom="1440" w:gutter="0" w:footer="0" w:header="0"/>
        </w:sectPr>
      </w:pPr>
    </w:p>
    <w:bookmarkStart w:id="7" w:name="page8"/>
    <w:bookmarkEnd w:id="7"/>
    <w:p>
      <w:pPr>
        <w:ind w:right="1879"/>
        <w:spacing w:after="0" w:line="347"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1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following discussion should be read in conjunction with the financial statements appearing elsewhere in this Form 10-Q and within our Form 10-K for the year ending December 31, 2000. This report contains forward-looking statements, within the meaning of Section 27A of the Securities Act of 1933 and Section 21E of the Securities Exchange Act of 1934, that involve risks and uncertainties. Our actual results could differ materially from those anticipated in these forward-looking statements as a result of various factors, including those discussed below under the heading "Risk Factors," and other factors detailed in the Company's filings with the Securities and Exchange Commission, specifically our Form 10-K for the year ending December 31, 2000.</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(Cat UPS(TM)). Our products are sold for use in the facilities of companies in many different industries that all share a critical need for reliable, high-quality power, such as Internet service providers, semiconductor manufacturers, telecommunications providers, hospitals, electric utilities and broadcasters. As an extension of these existing product lines, we are developing a fully integrated continuous power system. The initial target market for this product is the telecommunications industry.</w:t>
      </w:r>
    </w:p>
    <w:p>
      <w:pPr>
        <w:spacing w:after="0" w:line="29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Since 1996, we have focused our efforts and financial resources primarily on the design and development of our CleanSource(R) line of power quality products and on establishing effective OEM channels to market our products. As of March 31, 2001, we had generated an accumulated deficit of $59.4 million and expect to continue to sustain operating losses for the next several quarters. We initially funded our operations through sales of shares of our preferred stock, which have resulted in gross proceeds of approximately $42.6 million. We believe the proceeds from our August 2000 initial public offering, approximately $138.4 million net of commissions and issuance costs, together with cash balances on hand prior to August 2000 will be sufficient to meet our capital requirements through at least the next 24 months. Our cash and investments position at March 31, 2001 was $137.0 million.</w:t>
      </w:r>
    </w:p>
    <w:p>
      <w:pPr>
        <w:spacing w:after="0" w:line="105"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and the first quarter of 2001, our business level with Caterpillar and its dealer network grew substantially, accounting for 96% and 78% respectively of our revenue due to the commercial introduction of the CleanSource UPS product line. We expect to continue to be dependent on a few OEM customers, primarily Caterpillar, for the majority of our sales for the foreseeable future.</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8" w:name="page9"/>
    <w:bookmarkEnd w:id="8"/>
    <w:p>
      <w:pPr>
        <w:ind w:right="1879" w:firstLine="527"/>
        <w:spacing w:after="0" w:line="260" w:lineRule="auto"/>
        <w:rPr>
          <w:sz w:val="20"/>
          <w:szCs w:val="20"/>
          <w:color w:val="auto"/>
        </w:rPr>
      </w:pPr>
      <w:r>
        <w:rPr>
          <w:rFonts w:ascii="Courier New" w:cs="Courier New" w:eastAsia="Courier New" w:hAnsi="Courier New"/>
          <w:sz w:val="18"/>
          <w:szCs w:val="18"/>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93" w:lineRule="exact"/>
        <w:rPr>
          <w:sz w:val="20"/>
          <w:szCs w:val="20"/>
          <w:color w:val="auto"/>
        </w:rPr>
      </w:pPr>
    </w:p>
    <w:p>
      <w:pPr>
        <w:ind w:left="1160" w:right="1999" w:hanging="625"/>
        <w:spacing w:after="0" w:line="34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 our manufacturing facilities and add manufacturing personnel to address anticipated increases in product demand;</w:t>
      </w:r>
    </w:p>
    <w:p>
      <w:pPr>
        <w:spacing w:after="0" w:line="18" w:lineRule="exact"/>
        <w:rPr>
          <w:sz w:val="20"/>
          <w:szCs w:val="20"/>
          <w:color w:val="auto"/>
        </w:rPr>
      </w:pPr>
    </w:p>
    <w:p>
      <w:pPr>
        <w:ind w:left="1160" w:right="1879" w:hanging="625"/>
        <w:spacing w:after="0" w:line="292"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personnel levels in product development and engineering to accelerate time to market on new products and enhance existing product lines; and</w:t>
      </w:r>
    </w:p>
    <w:p>
      <w:pPr>
        <w:spacing w:after="0" w:line="66" w:lineRule="exact"/>
        <w:rPr>
          <w:sz w:val="20"/>
          <w:szCs w:val="20"/>
          <w:color w:val="auto"/>
        </w:rPr>
      </w:pPr>
    </w:p>
    <w:p>
      <w:pPr>
        <w:ind w:left="1160" w:hanging="625"/>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sales and marketing personnel to support our OEM customers.</w:t>
      </w:r>
    </w:p>
    <w:p>
      <w:pPr>
        <w:spacing w:after="0" w:line="201" w:lineRule="exact"/>
        <w:rPr>
          <w:sz w:val="20"/>
          <w:szCs w:val="20"/>
          <w:color w:val="auto"/>
        </w:rPr>
      </w:pPr>
    </w:p>
    <w:p>
      <w:pPr>
        <w:ind w:right="2519" w:firstLine="527"/>
        <w:spacing w:after="0" w:line="420" w:lineRule="auto"/>
        <w:rPr>
          <w:sz w:val="20"/>
          <w:szCs w:val="20"/>
          <w:color w:val="auto"/>
        </w:rPr>
      </w:pPr>
      <w:r>
        <w:rPr>
          <w:rFonts w:ascii="Courier New" w:cs="Courier New" w:eastAsia="Courier New" w:hAnsi="Courier New"/>
          <w:sz w:val="16"/>
          <w:szCs w:val="16"/>
          <w:color w:val="auto"/>
        </w:rPr>
        <w:t>We believe that although these efforts will increase our operating expenses, they will also enable us to realize significant revenue growth.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Product Revenue. Product revenue primarily consists of sales of our CleanSource power quality products. Sales increased $4.9 million to $5.1 million for the three months ended March 31, 2001 from $182,000 for the three months ended March 31, 2000. This increase was primarily attributable to a ramp up in the sales of our recently launched CleanSource UPS product line. In the three months ended March 31, 2001, we sold 101 quarter-megawatt flywheel units. The majority of these units were sold to our CleanSource UPS distribution partner, Caterpillar.</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Cost of goods sold increased $6.0 million to $6.5 million for the three months ended March 31, 2001 from $521,000 for the three months ended March 31, 2000. This increase was primarily due to product costs that grew commensurate with the increase in sales and a scale up in our manufacturing operations. In anticipation of future demand for our products, we plan to significantly expand our manufacturing capacity by increasing both our manufacturing facilities and production personnel, which will increase our manufacturing cost base. We believe gross margins will improve over time as our product volumes increase, and we achieve greater economies of scale in production and in purchasing component parts, and introduce engineering design savings.</w:t>
      </w:r>
    </w:p>
    <w:p>
      <w:pPr>
        <w:spacing w:after="0" w:line="10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Research and development. Research and development expense primarily consists of compensation and related costs of employees engaged in research, development and engineering activities, third party consulting and development activities, as well as an allocated portion of our occupancy costs. Research and development expense increased $2.0 million, or 142%, to $3.5 million for the three months ended March 31, 2001 from $1.5 million for the three months ended March 31, 2000. The increase in research and development expense was primarily due to an increase in product development activities on our next generation 6 kilowatt continuous power system. We believe that research and development expense will continue to increase during 2001 and thereafter as we continue to develop new products and enhance existing product lines.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Selling, general and administrative. Selling, general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expense is primarily comprised of compensation and related costs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sales, marketing and administrative personnel, selling and marketing</w:t>
      </w:r>
    </w:p>
    <w:p>
      <w:pPr>
        <w:spacing w:after="0" w:line="238" w:lineRule="auto"/>
        <w:rPr>
          <w:sz w:val="20"/>
          <w:szCs w:val="20"/>
          <w:color w:val="auto"/>
        </w:rPr>
      </w:pPr>
      <w:r>
        <w:rPr>
          <w:rFonts w:ascii="Courier New" w:cs="Courier New" w:eastAsia="Courier New" w:hAnsi="Courier New"/>
          <w:sz w:val="18"/>
          <w:szCs w:val="18"/>
          <w:color w:val="auto"/>
        </w:rPr>
        <w:t>expenses, professional fees and reserves for bad debt. Selling, general and</w:t>
      </w:r>
    </w:p>
    <w:p>
      <w:pPr>
        <w:spacing w:after="0"/>
        <w:rPr>
          <w:sz w:val="20"/>
          <w:szCs w:val="20"/>
          <w:color w:val="auto"/>
        </w:rPr>
      </w:pPr>
      <w:r>
        <w:rPr>
          <w:rFonts w:ascii="Courier New" w:cs="Courier New" w:eastAsia="Courier New" w:hAnsi="Courier New"/>
          <w:sz w:val="18"/>
          <w:szCs w:val="18"/>
          <w:color w:val="auto"/>
        </w:rPr>
        <w:t>administrative expense increased approximately $1.6 million, or 150%, to $2.7</w:t>
      </w:r>
    </w:p>
    <w:p>
      <w:pPr>
        <w:spacing w:after="0" w:line="238" w:lineRule="auto"/>
        <w:rPr>
          <w:sz w:val="20"/>
          <w:szCs w:val="20"/>
          <w:color w:val="auto"/>
        </w:rPr>
      </w:pPr>
      <w:r>
        <w:rPr>
          <w:rFonts w:ascii="Courier New" w:cs="Courier New" w:eastAsia="Courier New" w:hAnsi="Courier New"/>
          <w:sz w:val="18"/>
          <w:szCs w:val="18"/>
          <w:color w:val="auto"/>
        </w:rPr>
        <w:t>million for the three months ended March 31, 2001 from $1.1 million for the</w:t>
      </w:r>
    </w:p>
    <w:p>
      <w:pPr>
        <w:spacing w:after="0"/>
        <w:rPr>
          <w:sz w:val="20"/>
          <w:szCs w:val="20"/>
          <w:color w:val="auto"/>
        </w:rPr>
      </w:pPr>
      <w:r>
        <w:rPr>
          <w:rFonts w:ascii="Courier New" w:cs="Courier New" w:eastAsia="Courier New" w:hAnsi="Courier New"/>
          <w:sz w:val="18"/>
          <w:szCs w:val="18"/>
          <w:color w:val="auto"/>
        </w:rPr>
        <w:t>three months ended March 31, 2000. The increase in selling, general and</w:t>
      </w:r>
    </w:p>
    <w:p>
      <w:pPr>
        <w:spacing w:after="0" w:line="238" w:lineRule="auto"/>
        <w:rPr>
          <w:sz w:val="20"/>
          <w:szCs w:val="20"/>
          <w:color w:val="auto"/>
        </w:rPr>
      </w:pPr>
      <w:r>
        <w:rPr>
          <w:rFonts w:ascii="Courier New" w:cs="Courier New" w:eastAsia="Courier New" w:hAnsi="Courier New"/>
          <w:sz w:val="18"/>
          <w:szCs w:val="18"/>
          <w:color w:val="auto"/>
        </w:rPr>
        <w:t>administrative expense was principally due to increased personnel in our sales</w:t>
      </w:r>
    </w:p>
    <w:p>
      <w:pPr>
        <w:spacing w:after="0"/>
        <w:rPr>
          <w:sz w:val="20"/>
          <w:szCs w:val="20"/>
          <w:color w:val="auto"/>
        </w:rPr>
      </w:pPr>
      <w:r>
        <w:rPr>
          <w:rFonts w:ascii="Courier New" w:cs="Courier New" w:eastAsia="Courier New" w:hAnsi="Courier New"/>
          <w:sz w:val="18"/>
          <w:szCs w:val="18"/>
          <w:color w:val="auto"/>
        </w:rPr>
        <w:t>and marketing organizations in order to support our main OEM channel partner's</w:t>
      </w:r>
    </w:p>
    <w:p>
      <w:pPr>
        <w:spacing w:after="0"/>
        <w:rPr>
          <w:sz w:val="20"/>
          <w:szCs w:val="20"/>
          <w:color w:val="auto"/>
        </w:rPr>
      </w:pPr>
      <w:r>
        <w:rPr>
          <w:rFonts w:ascii="Courier New" w:cs="Courier New" w:eastAsia="Courier New" w:hAnsi="Courier New"/>
          <w:sz w:val="16"/>
          <w:szCs w:val="16"/>
          <w:color w:val="auto"/>
        </w:rPr>
        <w:t>sales and service ramp up of the CleanSource UPS product line. We also incurred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higher administrative costs associated with the added responsibilities and</w:t>
      </w:r>
    </w:p>
    <w:p>
      <w:pPr>
        <w:spacing w:after="0"/>
        <w:rPr>
          <w:sz w:val="20"/>
          <w:szCs w:val="20"/>
          <w:color w:val="auto"/>
        </w:rPr>
      </w:pPr>
      <w:r>
        <w:rPr>
          <w:rFonts w:ascii="Courier New" w:cs="Courier New" w:eastAsia="Courier New" w:hAnsi="Courier New"/>
          <w:sz w:val="16"/>
          <w:szCs w:val="16"/>
          <w:color w:val="auto"/>
        </w:rPr>
        <w:t>reporting requirements of a pubic company. We believe that selling, general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expense will increase in future periods as we add sales,</w:t>
      </w:r>
    </w:p>
    <w:p>
      <w:pPr>
        <w:spacing w:after="0"/>
        <w:rPr>
          <w:sz w:val="20"/>
          <w:szCs w:val="20"/>
          <w:color w:val="auto"/>
        </w:rPr>
      </w:pPr>
      <w:r>
        <w:rPr>
          <w:rFonts w:ascii="Courier New" w:cs="Courier New" w:eastAsia="Courier New" w:hAnsi="Courier New"/>
          <w:sz w:val="16"/>
          <w:szCs w:val="16"/>
          <w:color w:val="auto"/>
        </w:rPr>
        <w:t>marketing and administrative personnel and costs to position us for future sales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growth and to assist in the administration of an expanding work force.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Amortization of deferred stock compensation. Deferred stock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reflects the difference between the exercise price of option grants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employees and the estimated fair value determined subsequently by us of our</w:t>
      </w:r>
    </w:p>
    <w:p>
      <w:pPr>
        <w:spacing w:after="0"/>
        <w:rPr>
          <w:sz w:val="20"/>
          <w:szCs w:val="20"/>
          <w:color w:val="auto"/>
        </w:rPr>
      </w:pPr>
      <w:r>
        <w:rPr>
          <w:rFonts w:ascii="Courier New" w:cs="Courier New" w:eastAsia="Courier New" w:hAnsi="Courier New"/>
          <w:sz w:val="16"/>
          <w:szCs w:val="16"/>
          <w:color w:val="auto"/>
        </w:rPr>
        <w:t>common stock at the date of grant. We are amortizing deferred stock compensation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an operating expense over the vesting periods of the applicable options,</w:t>
      </w:r>
    </w:p>
    <w:p>
      <w:pPr>
        <w:spacing w:after="0" w:line="238" w:lineRule="auto"/>
        <w:rPr>
          <w:sz w:val="20"/>
          <w:szCs w:val="20"/>
          <w:color w:val="auto"/>
        </w:rPr>
      </w:pPr>
      <w:r>
        <w:rPr>
          <w:rFonts w:ascii="Courier New" w:cs="Courier New" w:eastAsia="Courier New" w:hAnsi="Courier New"/>
          <w:sz w:val="18"/>
          <w:szCs w:val="18"/>
          <w:color w:val="auto"/>
        </w:rPr>
        <w:t>which resulted in amortization expense of $1.3 million for the three months</w:t>
      </w:r>
    </w:p>
    <w:p>
      <w:pPr>
        <w:spacing w:after="0"/>
        <w:rPr>
          <w:sz w:val="20"/>
          <w:szCs w:val="20"/>
          <w:color w:val="auto"/>
        </w:rPr>
      </w:pPr>
      <w:r>
        <w:rPr>
          <w:rFonts w:ascii="Courier New" w:cs="Courier New" w:eastAsia="Courier New" w:hAnsi="Courier New"/>
          <w:sz w:val="16"/>
          <w:szCs w:val="16"/>
          <w:color w:val="auto"/>
        </w:rPr>
        <w:t>ended March 31, 2001 and $1.3 million for the three months ended March 31, 2000.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expect the amortization expense to decrease during and after 2001, as the</w:t>
      </w:r>
    </w:p>
    <w:p>
      <w:pPr>
        <w:spacing w:after="0"/>
        <w:rPr>
          <w:sz w:val="20"/>
          <w:szCs w:val="20"/>
          <w:color w:val="auto"/>
        </w:rPr>
      </w:pPr>
      <w:r>
        <w:rPr>
          <w:rFonts w:ascii="Courier New" w:cs="Courier New" w:eastAsia="Courier New" w:hAnsi="Courier New"/>
          <w:sz w:val="16"/>
          <w:szCs w:val="16"/>
          <w:color w:val="auto"/>
        </w:rPr>
        <w:t>options that were granted at exercise prices less than the estimated fair value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determined subsequently by us become fully vested.</w:t>
      </w:r>
    </w:p>
    <w:p>
      <w:pPr>
        <w:spacing w:after="0" w:line="169"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Interest income. Interest income increased $1.9 million to $2.2 million for the three months ended March 31, 2001 from $370,000 for the three months ended March 31, 2000. This is primarily due to the increase in our average cash balance for the three month period of 2001 of $140.6 million compared to an average cash and investments balance of $24.1 million for the first quarter of 2000. The increase in our cash and investments balance is primarily associated with the approximately $138.4 million raised as part of our August 2000 initial public offering.</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Change in fair value of warrants. Due to the redemption feature of warrants we had outstanding in 1999 and 2000, we recorded a liability associated with the fair value of the warrants on the balance sheet and recorded changes in fair value of the warrants in expense. We calculated the fair value of the warrants using a Black-Scholes pricing model. In 2000, the fair value of the underlying common stock increased substantially, resulting in an increase in the warrant value and corresponding expense. Expense recorded for the three months ended March 31, 2001 was $0 and $1.0 million for the same period in 2000 as a result of the conversion of the warrants to common stock as part of our initial public offering.</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0" w:lineRule="exact"/>
        <w:rPr>
          <w:sz w:val="20"/>
          <w:szCs w:val="20"/>
          <w:color w:val="auto"/>
        </w:rPr>
      </w:pPr>
    </w:p>
    <w:p>
      <w:pPr>
        <w:spacing w:after="0" w:line="204"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Our principal source of liquidity as of March 31, 2001 consisted of $137.0 million of cash, cash equivalents and investments.</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August 2000, we completed a successful initial public offering, raising approximately $138.4 million, net of commissions and issuance expenses. This is in addition to our private financing efforts, including the sale of shares of our preferred stock, which have resulted in gross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0" w:name="page11"/>
    <w:bookmarkEnd w:id="10"/>
    <w:p>
      <w:pPr>
        <w:ind w:right="1779"/>
        <w:spacing w:after="0" w:line="256" w:lineRule="auto"/>
        <w:rPr>
          <w:sz w:val="20"/>
          <w:szCs w:val="20"/>
          <w:color w:val="auto"/>
        </w:rPr>
      </w:pPr>
      <w:r>
        <w:rPr>
          <w:rFonts w:ascii="Courier New" w:cs="Courier New" w:eastAsia="Courier New" w:hAnsi="Courier New"/>
          <w:sz w:val="18"/>
          <w:szCs w:val="18"/>
          <w:color w:val="auto"/>
        </w:rPr>
        <w:t>proceeds of approximately $42.6 million, and $5.0 million in development funding received from Caterpillar in 1999. During the three months ended March 31, 2001, cash used by operating activities was $8.4 million, which compares to $2.5 million of cash used by operating activities for the three months ended March 31, 2000. The cash usage in each of these periods was primarily attributable to our focus on the development of products and the expansion of our manufacturing operations and sales activities.</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Capital expenditures were $1.5 million for the three months ended March 31, 2001 and $589,000 for the three months ended March 31, 2000. We made these expenditures to acquire engineering test equipment, and to purchase manufacturing equipment to facilitate production testing, as well as for general computer equipment and software for administrative purposes. We expect to incur approximately $6.0 to $10.0 million in additional costs in 2001 primarily on the build out of our new manufacturing facility.</w:t>
      </w:r>
    </w:p>
    <w:p>
      <w:pPr>
        <w:spacing w:after="0" w:line="9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believe our existing cash balance at March 31, 2001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interest income is sensitive to changes in the general level of</w:t>
      </w:r>
    </w:p>
    <w:p>
      <w:pPr>
        <w:spacing w:after="0" w:line="3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U.S. interest rates, particularly because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approximately $1.3 million. Because of the short-term nature of the majority of our investments, we do not believe a 1% decline in interest rates would have a material effect on their fair value.</w:t>
      </w:r>
    </w:p>
    <w:p>
      <w:pPr>
        <w:spacing w:after="0" w:line="106"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We invest our cash in a variety of financial investments, including bank time deposits, taxable and tax-advantaged variable rate and fixed rate obligations of corporations, municipalities, and local, state and national government entities and agencies. These investments are denominated in U.S. dollars.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Risk Factors That May Affect Future Results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You should carefully consider the following risks and all other information contained in this filing before deciding to invest in our common stock. Additional risks and uncertainties that we are unaware of or that we currently deem immaterial also may become important factors that affect us.</w:t>
      </w:r>
    </w:p>
    <w:p>
      <w:pPr>
        <w:spacing w:after="0" w:line="82"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We have incurred significant losses and anticipate losses for the next several quarters.</w:t>
      </w:r>
    </w:p>
    <w:p>
      <w:pPr>
        <w:spacing w:after="0" w:line="1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We have incurred operating losses since our inception and expect to continue to incur losses for the next several quarters. As of March 31, 2001, we had an accumulated deficit of $59.4 million. To date, our product revenue has been insignificant, and we have funded our operations principally through the sale of our stock.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99" w:lineRule="exact"/>
        <w:rPr>
          <w:sz w:val="20"/>
          <w:szCs w:val="20"/>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82"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We have generated a total of $11.9 million in product revenue since January 1, 1998, and we have sold fewer than 275 CleanSource DC and CleanSource UPS products. We are uncertain whether our products will achieve market acceptance such that our revenues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290"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Our business is subject to fluctuations in operating results, which could negatively impact the price of our stock.</w:t>
      </w:r>
    </w:p>
    <w:p>
      <w:pPr>
        <w:spacing w:after="0" w:line="18" w:lineRule="exact"/>
        <w:rPr>
          <w:sz w:val="20"/>
          <w:szCs w:val="20"/>
          <w:color w:val="auto"/>
        </w:rPr>
      </w:pPr>
    </w:p>
    <w:p>
      <w:pPr>
        <w:ind w:right="2419"/>
        <w:spacing w:after="0" w:line="274" w:lineRule="auto"/>
        <w:rPr>
          <w:sz w:val="20"/>
          <w:szCs w:val="20"/>
          <w:color w:val="auto"/>
        </w:rPr>
      </w:pPr>
      <w:r>
        <w:rPr>
          <w:rFonts w:ascii="Courier New" w:cs="Courier New" w:eastAsia="Courier New" w:hAnsi="Courier New"/>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82" w:lineRule="exact"/>
        <w:rPr>
          <w:sz w:val="20"/>
          <w:szCs w:val="20"/>
          <w:color w:val="auto"/>
        </w:rPr>
      </w:pPr>
    </w:p>
    <w:p>
      <w:pPr>
        <w:ind w:left="860" w:right="1879" w:hanging="325"/>
        <w:spacing w:after="0" w:line="289"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orders from our customers and the possibility that these customers may change their order requirements with little or no advance</w:t>
      </w:r>
    </w:p>
    <w:p>
      <w:pPr>
        <w:ind w:left="860"/>
        <w:spacing w:after="0"/>
        <w:rPr>
          <w:sz w:val="20"/>
          <w:szCs w:val="20"/>
          <w:color w:val="auto"/>
        </w:rPr>
      </w:pPr>
      <w:r>
        <w:rPr>
          <w:rFonts w:ascii="Courier New" w:cs="Courier New" w:eastAsia="Courier New" w:hAnsi="Courier New"/>
          <w:sz w:val="18"/>
          <w:szCs w:val="18"/>
          <w:color w:val="auto"/>
        </w:rPr>
        <w:t>notice to us;</w:t>
      </w:r>
    </w:p>
    <w:p>
      <w:pPr>
        <w:ind w:left="860" w:right="1879" w:hanging="325"/>
        <w:spacing w:after="0" w:line="309"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of adoption of our fly-wheel-based energy storage system as an alternative to lead-acid batteries;</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2" w:name="page13"/>
    <w:bookmarkEnd w:id="12"/>
    <w:p>
      <w:pPr>
        <w:ind w:left="860" w:right="1879" w:hanging="325"/>
        <w:spacing w:after="0" w:line="257"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deferral of customer orders in anticipation of new products from us or other providers of power quality systems;</w:t>
      </w:r>
    </w:p>
    <w:p>
      <w:pPr>
        <w:ind w:left="860" w:right="1999" w:hanging="325"/>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need for short-term power outage protection in traditional UPS systems;</w:t>
      </w:r>
    </w:p>
    <w:p>
      <w:pPr>
        <w:spacing w:after="0" w:line="1" w:lineRule="exact"/>
        <w:rPr>
          <w:sz w:val="20"/>
          <w:szCs w:val="20"/>
          <w:color w:val="auto"/>
        </w:rPr>
      </w:pPr>
    </w:p>
    <w:p>
      <w:pPr>
        <w:ind w:left="860" w:right="1879" w:hanging="325"/>
        <w:spacing w:after="0" w:line="268"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uncertainty regarding the adoption of our current and future products, including our recently introduced CleanSource UPS product and our fully integrated CPS, which we expect to commercially introduce by</w:t>
      </w:r>
    </w:p>
    <w:p>
      <w:pPr>
        <w:ind w:left="860"/>
        <w:spacing w:after="0"/>
        <w:rPr>
          <w:sz w:val="20"/>
          <w:szCs w:val="20"/>
          <w:color w:val="auto"/>
        </w:rPr>
      </w:pPr>
      <w:r>
        <w:rPr>
          <w:rFonts w:ascii="Courier New" w:cs="Courier New" w:eastAsia="Courier New" w:hAnsi="Courier New"/>
          <w:sz w:val="18"/>
          <w:szCs w:val="18"/>
          <w:color w:val="auto"/>
        </w:rPr>
        <w:t>the end of 2001; and</w:t>
      </w:r>
    </w:p>
    <w:p>
      <w:pPr>
        <w:ind w:left="860" w:hanging="325"/>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of growth of the markets for our products.</w:t>
      </w:r>
    </w:p>
    <w:p>
      <w:pPr>
        <w:spacing w:after="0" w:line="372"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Our business is dependent on the market for power quality products, and if this market does not expand as we anticipate, or if alternatives to our products are successful, our business will suffer.</w:t>
      </w:r>
    </w:p>
    <w:p>
      <w:pPr>
        <w:spacing w:after="0" w:line="66"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that could render them less desirable or obsolete.</w:t>
      </w:r>
    </w:p>
    <w:p>
      <w:pPr>
        <w:spacing w:after="0" w:line="3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We have limited product offerings, and our success depends on our ability to develop in a timely manner new and enhanced products that achieve market acceptance.</w:t>
      </w:r>
    </w:p>
    <w:p>
      <w:pPr>
        <w:spacing w:after="0" w:line="66"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306" w:lineRule="exact"/>
        <w:rPr>
          <w:sz w:val="20"/>
          <w:szCs w:val="20"/>
          <w:color w:val="auto"/>
        </w:rPr>
      </w:pPr>
    </w:p>
    <w:p>
      <w:pPr>
        <w:ind w:right="2739"/>
        <w:spacing w:after="0" w:line="347" w:lineRule="auto"/>
        <w:rPr>
          <w:sz w:val="20"/>
          <w:szCs w:val="20"/>
          <w:color w:val="auto"/>
        </w:rPr>
      </w:pPr>
      <w:r>
        <w:rPr>
          <w:rFonts w:ascii="Courier New" w:cs="Courier New" w:eastAsia="Courier New" w:hAnsi="Courier New"/>
          <w:sz w:val="18"/>
          <w:szCs w:val="18"/>
          <w:color w:val="auto"/>
        </w:rPr>
        <w:t>Failure to expand our distribution channels and manage our distribution relationships could impede our future growth.</w:t>
      </w:r>
    </w:p>
    <w:p>
      <w:pPr>
        <w:spacing w:after="0" w:line="1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3" w:name="page14"/>
    <w:bookmarkEnd w:id="13"/>
    <w:p>
      <w:pPr>
        <w:ind w:right="2939"/>
        <w:spacing w:after="0" w:line="402" w:lineRule="auto"/>
        <w:rPr>
          <w:sz w:val="20"/>
          <w:szCs w:val="20"/>
          <w:color w:val="auto"/>
        </w:rPr>
      </w:pPr>
      <w:r>
        <w:rPr>
          <w:rFonts w:ascii="Courier New" w:cs="Courier New" w:eastAsia="Courier New" w:hAnsi="Courier New"/>
          <w:sz w:val="16"/>
          <w:szCs w:val="16"/>
          <w:color w:val="auto"/>
        </w:rPr>
        <w:t>We are heavily dependent on our relationship with Caterpillar. If our relationship is unsuccessful, our business and revenue will suffer.</w:t>
      </w:r>
    </w:p>
    <w:p>
      <w:pPr>
        <w:spacing w:after="0" w:line="1" w:lineRule="exact"/>
        <w:rPr>
          <w:sz w:val="20"/>
          <w:szCs w:val="20"/>
          <w:color w:val="auto"/>
        </w:rPr>
      </w:pPr>
    </w:p>
    <w:p>
      <w:pPr>
        <w:ind w:right="1779"/>
        <w:spacing w:after="0" w:line="277" w:lineRule="auto"/>
        <w:rPr>
          <w:sz w:val="20"/>
          <w:szCs w:val="20"/>
          <w:color w:val="auto"/>
        </w:rPr>
      </w:pPr>
      <w:r>
        <w:rPr>
          <w:rFonts w:ascii="Courier New" w:cs="Courier New" w:eastAsia="Courier New" w:hAnsi="Courier New"/>
          <w:sz w:val="16"/>
          <w:szCs w:val="16"/>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In 2000 and the first quarter of 2001, our business level with Caterpillar and its dealer network accounted for 96% and 78% of our product revenue, respectively. Pursuant to the distribution agreement with Caterpillar, they are the exclusive distributor, subject to limited exceptions, of our CleanSource UPS product. Caterpillar is not obligated to purchase any CleanSource UPS units.</w:t>
      </w:r>
    </w:p>
    <w:p>
      <w:pPr>
        <w:spacing w:after="0" w:line="293"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would significantly reduce our revenue.</w:t>
      </w:r>
    </w:p>
    <w:p>
      <w:pPr>
        <w:spacing w:after="0" w:line="90"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We rely on OEMs as a primary distribution channel because they are able to sell our products to a large number of end user organizations. We further rely on our OEMs to provide service and support to the end users 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and the first quarter of 2001, our business level with Caterpillar and its dealer accounted for 96% and 78% of our revenue, respectively. Therefore, the loss of our key OEM customer, Caterpillar, or a significant reduction in sales to Caterpillar and its dealers, would significantly reduce our revenue. We also have granted Caterpillar semi-exclusive worldwide rights to distribute our CleanSource UPS product, provided that they meet minimum annual sales requirements. These restrictions will further increase our dependence upon Caterpillar. However, Caterpillar is not obligated to purchase any CleanSource UPS units under this agreement.</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have difficulty managing the expansion of our operations.</w:t>
      </w:r>
    </w:p>
    <w:p>
      <w:pPr>
        <w:spacing w:after="0" w:line="201" w:lineRule="exact"/>
        <w:rPr>
          <w:sz w:val="20"/>
          <w:szCs w:val="20"/>
          <w:color w:val="auto"/>
        </w:rPr>
      </w:pPr>
    </w:p>
    <w:p>
      <w:pPr>
        <w:ind w:right="1879"/>
        <w:spacing w:after="0" w:line="298" w:lineRule="auto"/>
        <w:rPr>
          <w:sz w:val="20"/>
          <w:szCs w:val="20"/>
          <w:color w:val="auto"/>
        </w:rPr>
      </w:pPr>
      <w:r>
        <w:rPr>
          <w:rFonts w:ascii="Courier New" w:cs="Courier New" w:eastAsia="Courier New" w:hAnsi="Courier New"/>
          <w:sz w:val="16"/>
          <w:szCs w:val="16"/>
          <w:color w:val="auto"/>
        </w:rPr>
        <w:t>We are undergoing rapid growth in the number of our employees, the size of our physical facilities and the scope of our operations. For example, we had 38 employees on January 1, 1998, 126 employees on June 30, 2000 and 202 employees on March 31, 2001. Such rapid expansion is likely to place a significant strain on our senior management team and other resources. Our business, prospects, results of operations or financial condition could be harmed if we encounter</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4" w:name="page15"/>
    <w:bookmarkEnd w:id="14"/>
    <w:p>
      <w:pPr>
        <w:ind w:right="2519"/>
        <w:spacing w:after="0" w:line="347" w:lineRule="auto"/>
        <w:rPr>
          <w:sz w:val="20"/>
          <w:szCs w:val="20"/>
          <w:color w:val="auto"/>
        </w:rPr>
      </w:pPr>
      <w:r>
        <w:rPr>
          <w:rFonts w:ascii="Courier New" w:cs="Courier New" w:eastAsia="Courier New" w:hAnsi="Courier New"/>
          <w:sz w:val="18"/>
          <w:szCs w:val="18"/>
          <w:color w:val="auto"/>
        </w:rPr>
        <w:t>difficulties in effectively managing the budgeting, forecasting and other process control issues presented by such a rapid expansion.</w:t>
      </w:r>
    </w:p>
    <w:p>
      <w:pPr>
        <w:spacing w:after="0" w:line="18"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We have no experience manufacturing our products in the quantities we expect to sell in the future.</w:t>
      </w:r>
    </w:p>
    <w:p>
      <w:pPr>
        <w:spacing w:after="0" w:line="18"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290"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We are subject to increased inventory risks and costs because we outsource the manufacturing of components of our products in advance of binding commitments from our customers to purchase our products.</w:t>
      </w:r>
    </w:p>
    <w:p>
      <w:pPr>
        <w:spacing w:after="0" w:line="66"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76"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82"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We purchase a power module and a microprocessor for our products from sole sources. We do not have long-term contracts with most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5" w:name="page16"/>
    <w:bookmarkEnd w:id="15"/>
    <w:p>
      <w:pPr>
        <w:ind w:right="1779"/>
        <w:spacing w:after="0" w:line="250" w:lineRule="auto"/>
        <w:rPr>
          <w:sz w:val="20"/>
          <w:szCs w:val="20"/>
          <w:color w:val="auto"/>
        </w:rPr>
      </w:pPr>
      <w:r>
        <w:rPr>
          <w:rFonts w:ascii="Courier New" w:cs="Courier New" w:eastAsia="Courier New" w:hAnsi="Courier New"/>
          <w:sz w:val="18"/>
          <w:szCs w:val="18"/>
          <w:color w:val="auto"/>
        </w:rPr>
        <w:t>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0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82"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08"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We are a relatively small company with limited resources compared to some of our current and potential competitors, and competition within our markets may limit our sales growth.</w:t>
      </w:r>
    </w:p>
    <w:p>
      <w:pPr>
        <w:spacing w:after="0" w:line="66"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04"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6" w:name="page17"/>
    <w:bookmarkEnd w:id="16"/>
    <w:p>
      <w:pPr>
        <w:ind w:right="1779"/>
        <w:spacing w:after="0" w:line="292" w:lineRule="auto"/>
        <w:rPr>
          <w:sz w:val="20"/>
          <w:szCs w:val="20"/>
          <w:color w:val="auto"/>
        </w:rPr>
      </w:pPr>
      <w:r>
        <w:rPr>
          <w:rFonts w:ascii="Courier New" w:cs="Courier New" w:eastAsia="Courier New" w:hAnsi="Courier New"/>
          <w:sz w:val="18"/>
          <w:szCs w:val="18"/>
          <w:color w:val="auto"/>
        </w:rPr>
        <w:t>or decrease our market share. These and other competitive pressures could prevent us from competing successfully against current or future competitors and could materially harm our business.</w:t>
      </w:r>
    </w:p>
    <w:p>
      <w:pPr>
        <w:spacing w:after="0" w:line="66"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If we are unable to protect our intellectual property, we may be unable to compete.</w:t>
      </w:r>
    </w:p>
    <w:p>
      <w:pPr>
        <w:spacing w:after="0" w:line="18" w:lineRule="exact"/>
        <w:rPr>
          <w:sz w:val="20"/>
          <w:szCs w:val="20"/>
          <w:color w:val="auto"/>
        </w:rPr>
      </w:pPr>
    </w:p>
    <w:p>
      <w:pPr>
        <w:ind w:right="1779"/>
        <w:spacing w:after="0" w:line="277" w:lineRule="auto"/>
        <w:rPr>
          <w:sz w:val="20"/>
          <w:szCs w:val="20"/>
          <w:color w:val="auto"/>
        </w:rPr>
      </w:pPr>
      <w:r>
        <w:rPr>
          <w:rFonts w:ascii="Courier New" w:cs="Courier New" w:eastAsia="Courier New" w:hAnsi="Courier New"/>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200" w:lineRule="exact"/>
        <w:rPr>
          <w:sz w:val="20"/>
          <w:szCs w:val="20"/>
          <w:color w:val="auto"/>
        </w:rPr>
      </w:pPr>
    </w:p>
    <w:p>
      <w:pPr>
        <w:spacing w:after="0" w:line="302"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Our efforts to protect our intellectual property may cause us to become involved in costly and lengthy litigation, which could seriously harm our business.</w:t>
      </w:r>
    </w:p>
    <w:p>
      <w:pPr>
        <w:spacing w:after="0" w:line="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04" w:lineRule="exact"/>
        <w:rPr>
          <w:sz w:val="20"/>
          <w:szCs w:val="20"/>
          <w:color w:val="auto"/>
        </w:rPr>
      </w:pPr>
    </w:p>
    <w:p>
      <w:pPr>
        <w:ind w:left="860" w:right="2739" w:hanging="325"/>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cease selling our products that use the challenged intellectual property;</w:t>
      </w:r>
    </w:p>
    <w:p>
      <w:pPr>
        <w:spacing w:after="0" w:line="18" w:lineRule="exact"/>
        <w:rPr>
          <w:sz w:val="20"/>
          <w:szCs w:val="20"/>
          <w:color w:val="auto"/>
        </w:rPr>
      </w:pPr>
    </w:p>
    <w:p>
      <w:pPr>
        <w:ind w:left="860" w:right="2199" w:hanging="325"/>
        <w:spacing w:after="0" w:line="344"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owner of the infringed intellectual property right a license to sell or use the relevant technology or trademark, which license may not be available on reasonable terms, or at all; or</w:t>
      </w:r>
    </w:p>
    <w:p>
      <w:pPr>
        <w:spacing w:after="0" w:line="31" w:lineRule="exact"/>
        <w:rPr>
          <w:sz w:val="20"/>
          <w:szCs w:val="20"/>
          <w:color w:val="auto"/>
        </w:rPr>
      </w:pPr>
    </w:p>
    <w:p>
      <w:pPr>
        <w:ind w:left="860" w:right="2199" w:hanging="325"/>
        <w:spacing w:after="0" w:line="347"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redesign those products that use infringing intellectual property or cease to use an infringing trademark.</w:t>
      </w:r>
    </w:p>
    <w:p>
      <w:pPr>
        <w:spacing w:after="0" w:line="18"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Any acquisitions we make could disrupt our business and harm our financial condition.</w:t>
      </w:r>
    </w:p>
    <w:p>
      <w:pPr>
        <w:spacing w:after="0" w:line="18"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17" w:name="page18"/>
    <w:bookmarkEnd w:id="17"/>
    <w:p>
      <w:pPr>
        <w:ind w:right="2099"/>
        <w:spacing w:after="0" w:line="292" w:lineRule="auto"/>
        <w:rPr>
          <w:sz w:val="20"/>
          <w:szCs w:val="20"/>
          <w:color w:val="auto"/>
        </w:rPr>
      </w:pPr>
      <w:r>
        <w:rPr>
          <w:rFonts w:ascii="Courier New" w:cs="Courier New" w:eastAsia="Courier New" w:hAnsi="Courier New"/>
          <w:sz w:val="18"/>
          <w:szCs w:val="18"/>
          <w:color w:val="auto"/>
        </w:rPr>
        <w:t>enhance our technical capabilities. We have no experience in making acquisitions. Acquisitions entail a number of risks that could materially and adversely affect our business and operating results, including:</w:t>
      </w:r>
    </w:p>
    <w:p>
      <w:pPr>
        <w:spacing w:after="0" w:line="66" w:lineRule="exact"/>
        <w:rPr>
          <w:sz w:val="20"/>
          <w:szCs w:val="20"/>
          <w:color w:val="auto"/>
        </w:rPr>
      </w:pPr>
    </w:p>
    <w:p>
      <w:pPr>
        <w:ind w:left="860" w:right="1999" w:hanging="325"/>
        <w:spacing w:after="0" w:line="25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problems integrating the acquired operations, technologies or products with our existing business and products;</w:t>
      </w:r>
    </w:p>
    <w:p>
      <w:pPr>
        <w:ind w:left="860" w:right="2319" w:hanging="325"/>
        <w:spacing w:after="0" w:line="238"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disruption of our ongoing business and distraction of our management;</w:t>
      </w:r>
    </w:p>
    <w:p>
      <w:pPr>
        <w:spacing w:after="0" w:line="1" w:lineRule="exact"/>
        <w:rPr>
          <w:sz w:val="20"/>
          <w:szCs w:val="20"/>
          <w:color w:val="auto"/>
        </w:rPr>
      </w:pPr>
    </w:p>
    <w:p>
      <w:pPr>
        <w:ind w:left="860" w:right="2319" w:hanging="325"/>
        <w:spacing w:after="0" w:line="238"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retaining business relationships with suppliers and customers of the acquired companies;</w:t>
      </w:r>
    </w:p>
    <w:p>
      <w:pPr>
        <w:ind w:left="860" w:hanging="325"/>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coordinating and integrating overall business</w:t>
      </w:r>
    </w:p>
    <w:p>
      <w:pPr>
        <w:ind w:left="860"/>
        <w:spacing w:after="0" w:line="238" w:lineRule="auto"/>
        <w:rPr>
          <w:sz w:val="20"/>
          <w:szCs w:val="20"/>
          <w:color w:val="auto"/>
        </w:rPr>
      </w:pPr>
      <w:r>
        <w:rPr>
          <w:rFonts w:ascii="Courier New" w:cs="Courier New" w:eastAsia="Courier New" w:hAnsi="Courier New"/>
          <w:sz w:val="18"/>
          <w:szCs w:val="18"/>
          <w:color w:val="auto"/>
        </w:rPr>
        <w:t>strategies, sales and marketing, and research and development efforts;</w:t>
      </w:r>
    </w:p>
    <w:p>
      <w:pPr>
        <w:ind w:left="860" w:right="2739" w:hanging="325"/>
        <w:spacing w:after="0" w:line="238"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maintenance of corporate cultures, controls, procedures and policies;</w:t>
      </w:r>
    </w:p>
    <w:p>
      <w:pPr>
        <w:spacing w:after="0" w:line="1" w:lineRule="exact"/>
        <w:rPr>
          <w:sz w:val="20"/>
          <w:szCs w:val="20"/>
          <w:color w:val="auto"/>
        </w:rPr>
      </w:pPr>
    </w:p>
    <w:p>
      <w:pPr>
        <w:ind w:left="860" w:right="2939" w:hanging="325"/>
        <w:spacing w:after="0" w:line="238"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associated with entering markets in which we lack prior experience; and</w:t>
      </w:r>
    </w:p>
    <w:p>
      <w:pPr>
        <w:spacing w:after="0" w:line="1" w:lineRule="exact"/>
        <w:rPr>
          <w:sz w:val="20"/>
          <w:szCs w:val="20"/>
          <w:color w:val="auto"/>
        </w:rPr>
      </w:pPr>
    </w:p>
    <w:p>
      <w:pPr>
        <w:ind w:left="860" w:hanging="325"/>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loss of key employees.</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We may require substantial additional funds in the future to finance our product development and commercialization plans.</w:t>
      </w:r>
    </w:p>
    <w:p>
      <w:pPr>
        <w:spacing w:after="0" w:line="18"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stock price may be volatile.</w:t>
      </w:r>
    </w:p>
    <w:p>
      <w:pPr>
        <w:spacing w:after="0" w:line="20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Since our IPO in August 2000, we have experienced significant volatility in our stock price. The market price of our common stock may fluctuate significantly in response to numerous factors, some of which are beyond our control, including the following:</w:t>
      </w:r>
    </w:p>
    <w:p>
      <w:pPr>
        <w:spacing w:after="0" w:line="2" w:lineRule="exact"/>
        <w:rPr>
          <w:sz w:val="20"/>
          <w:szCs w:val="20"/>
          <w:color w:val="auto"/>
        </w:rPr>
      </w:pPr>
    </w:p>
    <w:p>
      <w:pPr>
        <w:ind w:left="860" w:hanging="325"/>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or anticipated fluctuations in our operating results;</w:t>
      </w:r>
    </w:p>
    <w:p>
      <w:pPr>
        <w:ind w:left="860" w:right="1879" w:hanging="325"/>
        <w:spacing w:after="0" w:line="238" w:lineRule="auto"/>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financial estimates by securities analysts or our failure to perform in line with such estimates;</w:t>
      </w:r>
    </w:p>
    <w:p>
      <w:pPr>
        <w:spacing w:after="0" w:line="1" w:lineRule="exact"/>
        <w:rPr>
          <w:sz w:val="20"/>
          <w:szCs w:val="20"/>
          <w:color w:val="auto"/>
        </w:rPr>
      </w:pPr>
    </w:p>
    <w:p>
      <w:pPr>
        <w:ind w:left="860" w:right="1779" w:hanging="325"/>
        <w:spacing w:after="0" w:line="238"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market valuations of other technology companies, particularly those that sell products used in power quality systems;</w:t>
      </w:r>
    </w:p>
    <w:p>
      <w:pPr>
        <w:ind w:left="860" w:hanging="325"/>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by us or our competitors of significant technical</w:t>
      </w:r>
    </w:p>
    <w:p>
      <w:pPr>
        <w:ind w:left="860" w:right="2199"/>
        <w:spacing w:after="0" w:line="238" w:lineRule="auto"/>
        <w:rPr>
          <w:sz w:val="20"/>
          <w:szCs w:val="20"/>
          <w:color w:val="auto"/>
        </w:rPr>
      </w:pPr>
      <w:r>
        <w:rPr>
          <w:rFonts w:ascii="Courier New" w:cs="Courier New" w:eastAsia="Courier New" w:hAnsi="Courier New"/>
          <w:sz w:val="18"/>
          <w:szCs w:val="18"/>
          <w:color w:val="auto"/>
        </w:rPr>
        <w:t>innovations, acquisitions, strategic partnerships, joint ventures or capital commitments;</w:t>
      </w:r>
    </w:p>
    <w:p>
      <w:pPr>
        <w:spacing w:after="0" w:line="1" w:lineRule="exact"/>
        <w:rPr>
          <w:sz w:val="20"/>
          <w:szCs w:val="20"/>
          <w:color w:val="auto"/>
        </w:rPr>
      </w:pPr>
    </w:p>
    <w:p>
      <w:pPr>
        <w:ind w:left="860" w:right="2199" w:hanging="325"/>
        <w:spacing w:after="0" w:line="238"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 of technologies or product enhancements that reduce the need for flywheel energy storage systems;</w:t>
      </w:r>
    </w:p>
    <w:p>
      <w:pPr>
        <w:ind w:left="860" w:hanging="325"/>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one or more key OEM customers; and</w:t>
      </w:r>
    </w:p>
    <w:p>
      <w:pPr>
        <w:ind w:left="860" w:hanging="325"/>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departures of key personnel.</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8" w:name="page19"/>
    <w:bookmarkEnd w:id="18"/>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540" w:right="1779"/>
        <w:spacing w:after="0" w:line="278" w:lineRule="auto"/>
        <w:rPr>
          <w:sz w:val="20"/>
          <w:szCs w:val="20"/>
          <w:color w:val="auto"/>
        </w:rPr>
      </w:pPr>
      <w:r>
        <w:rPr>
          <w:rFonts w:ascii="Courier New" w:cs="Courier New" w:eastAsia="Courier New" w:hAnsi="Courier New"/>
          <w:sz w:val="16"/>
          <w:szCs w:val="16"/>
          <w:color w:val="auto"/>
        </w:rPr>
        <w:t>Our registration statement (Registration No. 333-36946) under the Securities Act of 1933, as amended, relating to our initial public offering of our common stock became effective on August 7, 2000. A total of 9,200,000 shares of common stock were registered. We sold a total of 8,900,000 shares of our common stock and a selling shareholder sold 300,000 shares to an underwriting syndicate. The managing underwriters were Goldman, Sachs &amp; Co., Merrill Lynch, Pierce Fenner &amp; Smith Incorporated, Morgan Stanley &amp; Co. Incorporated and CIBC World Markets Corp. The offering commenced and was completed on August 8, 2000, at a price to the public of $17.00 per share. The initial public offering resulted in net proceeds to us of $138.4 million after deducting underwriting commissions of $10.6 million and offering expenses of $2.2 million. The Company has used approximately $3.7 million of the net offering proceeds for capital expenditures and $17.0 million for operating activities. The remaining proceeds from the IPO were invested in government securities and other short-term, investment-grade, interest bearing instruments.</w:t>
      </w:r>
    </w:p>
    <w:p>
      <w:pPr>
        <w:spacing w:after="0" w:line="29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319" w:firstLine="316"/>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4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ACTIVE POWER, INC.</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43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43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(REGISTRANT)</w:t>
            </w:r>
          </w:p>
        </w:tc>
        <w:tc>
          <w:tcPr>
            <w:tcW w:w="0" w:type="dxa"/>
            <w:vAlign w:val="bottom"/>
          </w:tcPr>
          <w:p>
            <w:pPr>
              <w:spacing w:after="0"/>
              <w:rPr>
                <w:sz w:val="1"/>
                <w:szCs w:val="1"/>
                <w:color w:val="auto"/>
              </w:rPr>
            </w:pPr>
          </w:p>
        </w:tc>
      </w:tr>
      <w:tr>
        <w:trPr>
          <w:trHeight w:val="514"/>
        </w:trPr>
        <w:tc>
          <w:tcPr>
            <w:tcW w:w="37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7"/>
              </w:rPr>
              <w:t>_______________________________</w:t>
            </w:r>
          </w:p>
        </w:tc>
        <w:tc>
          <w:tcPr>
            <w:tcW w:w="4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/s/ Joseph Pinkerton, III</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43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0" w:type="dxa"/>
            <w:vAlign w:val="bottom"/>
          </w:tcPr>
          <w:p>
            <w:pPr>
              <w:spacing w:after="0"/>
              <w:rPr>
                <w:sz w:val="1"/>
                <w:szCs w:val="1"/>
                <w:color w:val="auto"/>
              </w:rPr>
            </w:pPr>
          </w:p>
        </w:tc>
      </w:tr>
      <w:tr>
        <w:trPr>
          <w:trHeight w:val="203"/>
        </w:trPr>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2000</w:t>
            </w:r>
          </w:p>
        </w:tc>
        <w:tc>
          <w:tcPr>
            <w:tcW w:w="43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Joseph Pinkerton, III</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432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President and Chief Executive Officer</w:t>
            </w:r>
          </w:p>
        </w:tc>
        <w:tc>
          <w:tcPr>
            <w:tcW w:w="0" w:type="dxa"/>
            <w:vAlign w:val="bottom"/>
          </w:tcPr>
          <w:p>
            <w:pPr>
              <w:spacing w:after="0"/>
              <w:rPr>
                <w:sz w:val="1"/>
                <w:szCs w:val="1"/>
                <w:color w:val="auto"/>
              </w:rPr>
            </w:pPr>
          </w:p>
        </w:tc>
      </w:tr>
      <w:tr>
        <w:trPr>
          <w:trHeight w:val="514"/>
        </w:trPr>
        <w:tc>
          <w:tcPr>
            <w:tcW w:w="37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7"/>
              </w:rPr>
              <w:t>_______________________________</w:t>
            </w:r>
          </w:p>
        </w:tc>
        <w:tc>
          <w:tcPr>
            <w:tcW w:w="4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 David S. Gino</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43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0" w:type="dxa"/>
            <w:vAlign w:val="bottom"/>
          </w:tcPr>
          <w:p>
            <w:pPr>
              <w:spacing w:after="0"/>
              <w:rPr>
                <w:sz w:val="1"/>
                <w:szCs w:val="1"/>
                <w:color w:val="auto"/>
              </w:rPr>
            </w:pPr>
          </w:p>
        </w:tc>
      </w:tr>
      <w:tr>
        <w:trPr>
          <w:trHeight w:val="203"/>
        </w:trPr>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2000</w:t>
            </w:r>
          </w:p>
        </w:tc>
        <w:tc>
          <w:tcPr>
            <w:tcW w:w="4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David S. Gino</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4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2)"/>
      <w:numFmt w:val="decimal"/>
      <w:start w:val="512"/>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2019-12-14T18:13:48Z</dcterms:created>
  <dcterms:modified xsi:type="dcterms:W3CDTF">2019-12-14T18:13:48Z</dcterms:modified>
</cp:coreProperties>
</file>