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79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79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SIVARAM SRIRAM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2128 W. BRAKER LANE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BK12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ACTIVE POWER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ACPW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05/16/2005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Sales &amp; Marketing</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8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spacing w:after="0"/>
              <w:rPr>
                <w:sz w:val="20"/>
                <w:szCs w:val="20"/>
                <w:color w:val="auto"/>
              </w:rPr>
            </w:pPr>
            <w:r>
              <w:rPr>
                <w:rFonts w:ascii="Arial" w:cs="Arial" w:eastAsia="Arial" w:hAnsi="Arial"/>
                <w:sz w:val="18"/>
                <w:szCs w:val="18"/>
                <w:color w:val="0000FF"/>
                <w:w w:val="99"/>
              </w:rPr>
              <w:t>AUSTIN</w:t>
            </w:r>
          </w:p>
        </w:tc>
        <w:tc>
          <w:tcPr>
            <w:tcW w:w="840" w:type="dxa"/>
            <w:vAlign w:val="bottom"/>
            <w:vMerge w:val="restart"/>
          </w:tcPr>
          <w:p>
            <w:pPr>
              <w:ind w:left="60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78758</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60" w:type="dxa"/>
            <w:vAlign w:val="bottom"/>
            <w:gridSpan w:val="2"/>
            <w:vMerge w:val="restart"/>
          </w:tcPr>
          <w:p>
            <w:pPr>
              <w:ind w:left="60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05/16/2005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2.54</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7"/>
              </w:rPr>
              <w:t>14,000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By Son</w:t>
            </w:r>
            <w:r>
              <w:rPr>
                <w:rFonts w:ascii="Arial" w:cs="Arial" w:eastAsia="Arial" w:hAnsi="Arial"/>
                <w:sz w:val="22"/>
                <w:szCs w:val="22"/>
                <w:color w:val="008000"/>
                <w:w w:val="92"/>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05/16/2005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2.57</w:t>
            </w:r>
          </w:p>
        </w:tc>
        <w:tc>
          <w:tcPr>
            <w:tcW w:w="3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jc w:val="center"/>
              <w:ind w:right="351"/>
              <w:spacing w:after="0"/>
              <w:rPr>
                <w:sz w:val="20"/>
                <w:szCs w:val="20"/>
                <w:color w:val="auto"/>
              </w:rPr>
            </w:pPr>
            <w:r>
              <w:rPr>
                <w:rFonts w:ascii="Arial" w:cs="Arial" w:eastAsia="Arial" w:hAnsi="Arial"/>
                <w:sz w:val="18"/>
                <w:szCs w:val="18"/>
                <w:color w:val="0000FF"/>
                <w:w w:val="87"/>
              </w:rPr>
              <w:t>16,000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I</w:t>
            </w: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2"/>
              </w:rPr>
              <w:t>By Son</w:t>
            </w:r>
            <w:r>
              <w:rPr>
                <w:rFonts w:ascii="Arial" w:cs="Arial" w:eastAsia="Arial" w:hAnsi="Arial"/>
                <w:sz w:val="22"/>
                <w:szCs w:val="22"/>
                <w:color w:val="008000"/>
                <w:w w:val="92"/>
                <w:vertAlign w:val="superscript"/>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jc w:val="center"/>
              <w:ind w:right="351"/>
              <w:spacing w:after="0"/>
              <w:rPr>
                <w:sz w:val="20"/>
                <w:szCs w:val="20"/>
                <w:color w:val="auto"/>
              </w:rPr>
            </w:pPr>
            <w:r>
              <w:rPr>
                <w:rFonts w:ascii="Arial" w:cs="Arial" w:eastAsia="Arial" w:hAnsi="Arial"/>
                <w:sz w:val="18"/>
                <w:szCs w:val="18"/>
                <w:color w:val="0000FF"/>
                <w:w w:val="88"/>
              </w:rPr>
              <w:t>7,000</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w w:val="94"/>
              </w:rPr>
              <w:t>By Son</w:t>
            </w:r>
            <w:r>
              <w:rPr>
                <w:rFonts w:ascii="Arial" w:cs="Arial" w:eastAsia="Arial" w:hAnsi="Arial"/>
                <w:sz w:val="22"/>
                <w:szCs w:val="22"/>
                <w:color w:val="008000"/>
                <w:w w:val="94"/>
                <w:vertAlign w:val="superscript"/>
              </w:rPr>
              <w:t>(1)</w:t>
            </w: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tcBorders>
              <w:top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600" w:type="dxa"/>
            <w:vAlign w:val="bottom"/>
            <w:tcBorders>
              <w:top w:val="single" w:sz="8" w:color="2C2C2C"/>
            </w:tcBorders>
          </w:tcPr>
          <w:p>
            <w:pPr>
              <w:spacing w:after="0"/>
              <w:rPr>
                <w:sz w:val="23"/>
                <w:szCs w:val="23"/>
                <w:color w:val="auto"/>
              </w:rPr>
            </w:pPr>
          </w:p>
        </w:tc>
        <w:tc>
          <w:tcPr>
            <w:tcW w:w="18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4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900" w:type="dxa"/>
            <w:vAlign w:val="bottom"/>
            <w:tcBorders>
              <w:top w:val="single" w:sz="8" w:color="2C2C2C"/>
            </w:tcBorders>
          </w:tcPr>
          <w:p>
            <w:pPr>
              <w:jc w:val="center"/>
              <w:ind w:right="351"/>
              <w:spacing w:after="0"/>
              <w:rPr>
                <w:sz w:val="20"/>
                <w:szCs w:val="20"/>
                <w:color w:val="auto"/>
              </w:rPr>
            </w:pPr>
            <w:r>
              <w:rPr>
                <w:rFonts w:ascii="Arial" w:cs="Arial" w:eastAsia="Arial" w:hAnsi="Arial"/>
                <w:sz w:val="18"/>
                <w:szCs w:val="18"/>
                <w:color w:val="0000FF"/>
                <w:w w:val="87"/>
              </w:rPr>
              <w:t>57,800</w:t>
            </w:r>
          </w:p>
        </w:tc>
        <w:tc>
          <w:tcPr>
            <w:tcW w:w="920" w:type="dxa"/>
            <w:vAlign w:val="bottom"/>
            <w:tcBorders>
              <w:top w:val="single" w:sz="8" w:color="2C2C2C"/>
            </w:tcBorders>
          </w:tcPr>
          <w:p>
            <w:pPr>
              <w:jc w:val="center"/>
              <w:ind w:right="12"/>
              <w:spacing w:after="0"/>
              <w:rPr>
                <w:sz w:val="20"/>
                <w:szCs w:val="20"/>
                <w:color w:val="auto"/>
              </w:rPr>
            </w:pPr>
            <w:r>
              <w:rPr>
                <w:rFonts w:ascii="Arial" w:cs="Arial" w:eastAsia="Arial" w:hAnsi="Arial"/>
                <w:sz w:val="18"/>
                <w:szCs w:val="18"/>
                <w:color w:val="0000FF"/>
                <w:w w:val="91"/>
              </w:rPr>
              <w:t>D</w:t>
            </w:r>
          </w:p>
        </w:tc>
        <w:tc>
          <w:tcPr>
            <w:tcW w:w="78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7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by reporting person as custodian for benefit of his minor child under Uniform Transfers to Minors Act. Reporting person disclaims beneficial ownership of these securities, and this report shall not be deemed an admission that the reporting person is the beneficial owner of the shares for purposes of Section 16 or for any other purpose.</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Michael Chibib (Attorney in</w:t>
            </w:r>
          </w:p>
        </w:tc>
        <w:tc>
          <w:tcPr>
            <w:tcW w:w="140" w:type="dxa"/>
            <w:vAlign w:val="bottom"/>
          </w:tcPr>
          <w:p>
            <w:pPr>
              <w:spacing w:after="0"/>
              <w:rPr>
                <w:sz w:val="18"/>
                <w:szCs w:val="18"/>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05/17/2005</w:t>
            </w:r>
          </w:p>
        </w:tc>
        <w:tc>
          <w:tcPr>
            <w:tcW w:w="0" w:type="dxa"/>
            <w:vAlign w:val="bottom"/>
          </w:tcPr>
          <w:p>
            <w:pPr>
              <w:spacing w:after="0"/>
              <w:rPr>
                <w:sz w:val="1"/>
                <w:szCs w:val="1"/>
                <w:color w:val="auto"/>
              </w:rPr>
            </w:pPr>
          </w:p>
        </w:tc>
      </w:tr>
      <w:tr>
        <w:trPr>
          <w:trHeight w:val="88"/>
        </w:trPr>
        <w:tc>
          <w:tcPr>
            <w:tcW w:w="216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6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2131" TargetMode="External"/><Relationship Id="rId13" Type="http://schemas.openxmlformats.org/officeDocument/2006/relationships/hyperlink" Target="http://www.sec.gov/cgi-bin/browse-edgar?action=getcompany&amp;CIK=00010444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2019-12-17T12:18:43Z</dcterms:created>
  <dcterms:modified xsi:type="dcterms:W3CDTF">2019-12-17T12:18:43Z</dcterms:modified>
</cp:coreProperties>
</file>