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6995160" cy="5895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89597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Gehl Jeff Patrick</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P10, INC.</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4514 COLE AVENUE,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P10,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PX</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2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10/25/2021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4" w:right="660" w:firstLine="4"/>
        <w:spacing w:after="0" w:line="235"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6" w:type="dxa"/>
        <w:tblCellMar>
          <w:top w:w="0" w:type="dxa"/>
          <w:left w:w="0" w:type="dxa"/>
          <w:bottom w:w="0" w:type="dxa"/>
          <w:right w:w="0" w:type="dxa"/>
        </w:tblCellMar>
      </w:tblPr>
      <w:tr>
        <w:trPr>
          <w:trHeight w:val="153"/>
        </w:trPr>
        <w:tc>
          <w:tcPr>
            <w:tcW w:w="220" w:type="dxa"/>
            <w:vAlign w:val="bottom"/>
          </w:tcPr>
          <w:p>
            <w:pPr>
              <w:spacing w:after="0"/>
              <w:rPr>
                <w:sz w:val="13"/>
                <w:szCs w:val="13"/>
                <w:color w:val="auto"/>
              </w:rPr>
            </w:pPr>
          </w:p>
        </w:tc>
        <w:tc>
          <w:tcPr>
            <w:tcW w:w="11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400" w:type="dxa"/>
            <w:vAlign w:val="bottom"/>
          </w:tcPr>
          <w:p>
            <w:pPr>
              <w:spacing w:after="0"/>
              <w:rPr>
                <w:sz w:val="13"/>
                <w:szCs w:val="13"/>
                <w:color w:val="auto"/>
              </w:rPr>
            </w:pPr>
          </w:p>
        </w:tc>
        <w:tc>
          <w:tcPr>
            <w:tcW w:w="88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1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400" w:type="dxa"/>
            <w:vAlign w:val="bottom"/>
            <w:vMerge w:val="restart"/>
          </w:tcPr>
          <w:p>
            <w:pPr>
              <w:ind w:left="180"/>
              <w:spacing w:after="0"/>
              <w:rPr>
                <w:sz w:val="20"/>
                <w:szCs w:val="20"/>
                <w:color w:val="auto"/>
              </w:rPr>
            </w:pPr>
            <w:r>
              <w:rPr>
                <w:rFonts w:ascii="Arial" w:cs="Arial" w:eastAsia="Arial" w:hAnsi="Arial"/>
                <w:sz w:val="17"/>
                <w:szCs w:val="17"/>
                <w:color w:val="0000FF"/>
              </w:rPr>
              <w:t>X</w:t>
            </w:r>
          </w:p>
        </w:tc>
        <w:tc>
          <w:tcPr>
            <w:tcW w:w="880" w:type="dxa"/>
            <w:vAlign w:val="bottom"/>
          </w:tcPr>
          <w:p>
            <w:pPr>
              <w:ind w:left="10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20" w:type="dxa"/>
            <w:vAlign w:val="bottom"/>
            <w:vMerge w:val="continue"/>
          </w:tcPr>
          <w:p>
            <w:pPr>
              <w:spacing w:after="0"/>
              <w:rPr>
                <w:sz w:val="8"/>
                <w:szCs w:val="8"/>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400" w:type="dxa"/>
            <w:vAlign w:val="bottom"/>
            <w:vMerge w:val="continue"/>
          </w:tcPr>
          <w:p>
            <w:pPr>
              <w:spacing w:after="0"/>
              <w:rPr>
                <w:sz w:val="8"/>
                <w:szCs w:val="8"/>
                <w:color w:val="auto"/>
              </w:rPr>
            </w:pPr>
          </w:p>
        </w:tc>
        <w:tc>
          <w:tcPr>
            <w:tcW w:w="8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7" w:lineRule="exact"/>
        <w:rPr>
          <w:sz w:val="24"/>
          <w:szCs w:val="24"/>
          <w:color w:val="auto"/>
        </w:rPr>
      </w:pPr>
    </w:p>
    <w:p>
      <w:pPr>
        <w:jc w:val="center"/>
        <w:ind w:right="184"/>
        <w:spacing w:after="0"/>
        <w:rPr>
          <w:sz w:val="20"/>
          <w:szCs w:val="20"/>
          <w:color w:val="auto"/>
        </w:rPr>
      </w:pPr>
      <w:r>
        <w:rPr>
          <w:rFonts w:ascii="Arial" w:cs="Arial" w:eastAsia="Arial" w:hAnsi="Arial"/>
          <w:sz w:val="16"/>
          <w:szCs w:val="16"/>
          <w:color w:val="0000FF"/>
        </w:rPr>
        <w:t xml:space="preserve">Head Marketing &amp; Distribution </w:t>
      </w:r>
      <w:r>
        <w:rPr>
          <w:rFonts w:ascii="Arial" w:cs="Arial" w:eastAsia="Arial" w:hAnsi="Arial"/>
          <w:sz w:val="19"/>
          <w:szCs w:val="19"/>
          <w:color w:val="000000"/>
        </w:rPr>
        <w:t>/</w:t>
      </w:r>
      <w:r>
        <w:rPr>
          <w:rFonts w:ascii="Arial" w:cs="Arial" w:eastAsia="Arial" w:hAnsi="Arial"/>
          <w:sz w:val="16"/>
          <w:szCs w:val="16"/>
          <w:color w:val="0000FF"/>
        </w:rPr>
        <w:t xml:space="preserve"> See</w:t>
      </w:r>
    </w:p>
    <w:p>
      <w:pPr>
        <w:spacing w:after="0" w:line="37" w:lineRule="exact"/>
        <w:rPr>
          <w:sz w:val="24"/>
          <w:szCs w:val="24"/>
          <w:color w:val="auto"/>
        </w:rPr>
      </w:pPr>
    </w:p>
    <w:p>
      <w:pPr>
        <w:jc w:val="center"/>
        <w:ind w:right="184"/>
        <w:spacing w:after="0"/>
        <w:rPr>
          <w:sz w:val="20"/>
          <w:szCs w:val="20"/>
          <w:color w:val="auto"/>
        </w:rPr>
      </w:pPr>
      <w:r>
        <w:rPr>
          <w:rFonts w:ascii="Arial" w:cs="Arial" w:eastAsia="Arial" w:hAnsi="Arial"/>
          <w:sz w:val="17"/>
          <w:szCs w:val="17"/>
          <w:color w:val="0000FF"/>
        </w:rPr>
        <w:t>Footnote 1</w:t>
      </w:r>
    </w:p>
    <w:p>
      <w:pPr>
        <w:spacing w:after="0" w:line="285" w:lineRule="exact"/>
        <w:rPr>
          <w:sz w:val="24"/>
          <w:szCs w:val="24"/>
          <w:color w:val="auto"/>
        </w:rPr>
      </w:pPr>
    </w:p>
    <w:p>
      <w:pPr>
        <w:sectPr>
          <w:pgSz w:w="11900" w:h="16838" w:orient="portrait"/>
          <w:cols w:equalWidth="0" w:num="3">
            <w:col w:w="3200" w:space="720"/>
            <w:col w:w="3104" w:space="720"/>
            <w:col w:w="3336"/>
          </w:cols>
          <w:pgMar w:left="460" w:top="220" w:right="359" w:bottom="1440" w:gutter="0" w:footer="0" w:header="0"/>
          <w:type w:val="continuous"/>
        </w:sectPr>
      </w:pPr>
    </w:p>
    <w:p>
      <w:pPr>
        <w:spacing w:after="0" w:line="137"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Arial" w:cs="Arial" w:eastAsia="Arial" w:hAnsi="Arial"/>
                <w:sz w:val="17"/>
                <w:szCs w:val="17"/>
                <w:color w:val="0000FF"/>
              </w:rPr>
              <w:t>DALLAS</w:t>
            </w:r>
          </w:p>
        </w:tc>
        <w:tc>
          <w:tcPr>
            <w:tcW w:w="1080" w:type="dxa"/>
            <w:vAlign w:val="bottom"/>
          </w:tcPr>
          <w:p>
            <w:pPr>
              <w:ind w:left="280"/>
              <w:spacing w:after="0"/>
              <w:rPr>
                <w:sz w:val="20"/>
                <w:szCs w:val="20"/>
                <w:color w:val="auto"/>
              </w:rPr>
            </w:pPr>
            <w:r>
              <w:rPr>
                <w:rFonts w:ascii="Arial" w:cs="Arial" w:eastAsia="Arial" w:hAnsi="Arial"/>
                <w:sz w:val="17"/>
                <w:szCs w:val="17"/>
                <w:color w:val="0000FF"/>
              </w:rPr>
              <w:t>TX</w:t>
            </w:r>
          </w:p>
        </w:tc>
        <w:tc>
          <w:tcPr>
            <w:tcW w:w="1620" w:type="dxa"/>
            <w:vAlign w:val="bottom"/>
          </w:tcPr>
          <w:p>
            <w:pPr>
              <w:ind w:left="420"/>
              <w:spacing w:after="0"/>
              <w:rPr>
                <w:sz w:val="20"/>
                <w:szCs w:val="20"/>
                <w:color w:val="auto"/>
              </w:rPr>
            </w:pPr>
            <w:r>
              <w:rPr>
                <w:rFonts w:ascii="Arial" w:cs="Arial" w:eastAsia="Arial" w:hAnsi="Arial"/>
                <w:sz w:val="17"/>
                <w:szCs w:val="17"/>
                <w:color w:val="0000FF"/>
              </w:rPr>
              <w:t>75205</w:t>
            </w:r>
          </w:p>
        </w:tc>
      </w:tr>
      <w:tr>
        <w:trPr>
          <w:trHeight w:val="148"/>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3"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66" w:lineRule="exact"/>
        <w:rPr>
          <w:sz w:val="24"/>
          <w:szCs w:val="24"/>
          <w:color w:val="auto"/>
        </w:rPr>
      </w:pPr>
    </w:p>
    <w:p>
      <w:pPr>
        <w:sectPr>
          <w:pgSz w:w="11900" w:h="16838" w:orient="portrait"/>
          <w:cols w:equalWidth="0" w:num="2">
            <w:col w:w="3760" w:space="160"/>
            <w:col w:w="716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0" w:type="dxa"/>
            <w:vAlign w:val="bottom"/>
          </w:tcPr>
          <w:p>
            <w:pPr>
              <w:spacing w:after="0"/>
              <w:rPr>
                <w:sz w:val="13"/>
                <w:szCs w:val="13"/>
                <w:color w:val="auto"/>
              </w:rPr>
            </w:pPr>
          </w:p>
        </w:tc>
        <w:tc>
          <w:tcPr>
            <w:tcW w:w="182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40"/>
              <w:spacing w:after="0" w:line="124" w:lineRule="exact"/>
              <w:rPr>
                <w:sz w:val="20"/>
                <w:szCs w:val="20"/>
                <w:color w:val="auto"/>
              </w:rPr>
            </w:pPr>
            <w:r>
              <w:rPr>
                <w:rFonts w:ascii="Arial" w:cs="Arial" w:eastAsia="Arial" w:hAnsi="Arial"/>
                <w:sz w:val="11"/>
                <w:szCs w:val="11"/>
                <w:b w:val="1"/>
                <w:bCs w:val="1"/>
                <w:color w:val="auto"/>
                <w:w w:val="92"/>
              </w:rPr>
              <w:t>Date</w:t>
            </w:r>
          </w:p>
        </w:tc>
        <w:tc>
          <w:tcPr>
            <w:tcW w:w="760" w:type="dxa"/>
            <w:vAlign w:val="bottom"/>
          </w:tcPr>
          <w:p>
            <w:pPr>
              <w:spacing w:after="0"/>
              <w:rPr>
                <w:sz w:val="10"/>
                <w:szCs w:val="10"/>
                <w:color w:val="auto"/>
              </w:rPr>
            </w:pPr>
          </w:p>
        </w:tc>
        <w:tc>
          <w:tcPr>
            <w:tcW w:w="9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Transaction</w:t>
            </w:r>
          </w:p>
        </w:tc>
        <w:tc>
          <w:tcPr>
            <w:tcW w:w="1820" w:type="dxa"/>
            <w:vAlign w:val="bottom"/>
            <w:gridSpan w:val="5"/>
          </w:tcPr>
          <w:p>
            <w:pPr>
              <w:ind w:left="2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jc w:val="center"/>
              <w:ind w:left="693"/>
              <w:spacing w:after="0"/>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By the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Jeff P.</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00" w:type="dxa"/>
            <w:vAlign w:val="bottom"/>
            <w:gridSpan w:val="3"/>
          </w:tcPr>
          <w:p>
            <w:pPr>
              <w:ind w:left="60"/>
              <w:spacing w:after="0" w:line="204" w:lineRule="exact"/>
              <w:rPr>
                <w:sz w:val="20"/>
                <w:szCs w:val="20"/>
                <w:color w:val="auto"/>
              </w:rPr>
            </w:pPr>
            <w:r>
              <w:rPr>
                <w:rFonts w:ascii="Arial" w:cs="Arial" w:eastAsia="Arial" w:hAnsi="Arial"/>
                <w:sz w:val="17"/>
                <w:szCs w:val="17"/>
                <w:color w:val="0000FF"/>
              </w:rPr>
              <w:t>Class A Common Stock</w:t>
            </w:r>
            <w:r>
              <w:rPr>
                <w:rFonts w:ascii="Arial" w:cs="Arial" w:eastAsia="Arial" w:hAnsi="Arial"/>
                <w:sz w:val="21"/>
                <w:szCs w:val="21"/>
                <w:color w:val="008000"/>
                <w:vertAlign w:val="superscript"/>
              </w:rPr>
              <w:t>(1)</w:t>
            </w:r>
          </w:p>
        </w:tc>
        <w:tc>
          <w:tcPr>
            <w:tcW w:w="1840" w:type="dxa"/>
            <w:vAlign w:val="bottom"/>
            <w:gridSpan w:val="2"/>
          </w:tcPr>
          <w:p>
            <w:pPr>
              <w:jc w:val="center"/>
              <w:ind w:left="693"/>
              <w:spacing w:after="0"/>
              <w:rPr>
                <w:sz w:val="20"/>
                <w:szCs w:val="20"/>
                <w:color w:val="auto"/>
              </w:rPr>
            </w:pPr>
            <w:r>
              <w:rPr>
                <w:rFonts w:ascii="Arial" w:cs="Arial" w:eastAsia="Arial" w:hAnsi="Arial"/>
                <w:sz w:val="17"/>
                <w:szCs w:val="17"/>
                <w:color w:val="0000FF"/>
                <w:w w:val="89"/>
              </w:rPr>
              <w:t>10/25/2021</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center"/>
              <w:ind w:right="120"/>
              <w:spacing w:after="0"/>
              <w:rPr>
                <w:sz w:val="20"/>
                <w:szCs w:val="20"/>
                <w:color w:val="auto"/>
              </w:rPr>
            </w:pPr>
            <w:r>
              <w:rPr>
                <w:rFonts w:ascii="Arial" w:cs="Arial" w:eastAsia="Arial" w:hAnsi="Arial"/>
                <w:sz w:val="13"/>
                <w:szCs w:val="13"/>
                <w:color w:val="0000FF"/>
                <w:w w:val="84"/>
              </w:rPr>
              <w:t>C</w:t>
            </w:r>
          </w:p>
        </w:tc>
        <w:tc>
          <w:tcPr>
            <w:tcW w:w="200" w:type="dxa"/>
            <w:vAlign w:val="bottom"/>
          </w:tcPr>
          <w:p>
            <w:pPr>
              <w:spacing w:after="0"/>
              <w:rPr>
                <w:sz w:val="17"/>
                <w:szCs w:val="17"/>
                <w:color w:val="auto"/>
              </w:rPr>
            </w:pPr>
          </w:p>
        </w:tc>
        <w:tc>
          <w:tcPr>
            <w:tcW w:w="640" w:type="dxa"/>
            <w:vAlign w:val="bottom"/>
            <w:gridSpan w:val="2"/>
          </w:tcPr>
          <w:p>
            <w:pPr>
              <w:ind w:left="100"/>
              <w:spacing w:after="0"/>
              <w:rPr>
                <w:sz w:val="20"/>
                <w:szCs w:val="20"/>
                <w:color w:val="auto"/>
              </w:rPr>
            </w:pPr>
            <w:r>
              <w:rPr>
                <w:rFonts w:ascii="Arial" w:cs="Arial" w:eastAsia="Arial" w:hAnsi="Arial"/>
                <w:sz w:val="17"/>
                <w:szCs w:val="17"/>
                <w:color w:val="0000FF"/>
                <w:w w:val="84"/>
              </w:rPr>
              <w:t>474,540</w:t>
            </w:r>
          </w:p>
        </w:tc>
        <w:tc>
          <w:tcPr>
            <w:tcW w:w="520" w:type="dxa"/>
            <w:vAlign w:val="bottom"/>
          </w:tcPr>
          <w:p>
            <w:pPr>
              <w:ind w:left="320"/>
              <w:spacing w:after="0"/>
              <w:rPr>
                <w:sz w:val="20"/>
                <w:szCs w:val="20"/>
                <w:color w:val="auto"/>
              </w:rPr>
            </w:pPr>
            <w:r>
              <w:rPr>
                <w:rFonts w:ascii="Arial" w:cs="Arial" w:eastAsia="Arial" w:hAnsi="Arial"/>
                <w:sz w:val="17"/>
                <w:szCs w:val="17"/>
                <w:color w:val="0000FF"/>
              </w:rPr>
              <w:t>A</w:t>
            </w:r>
          </w:p>
        </w:tc>
        <w:tc>
          <w:tcPr>
            <w:tcW w:w="620" w:type="dxa"/>
            <w:vAlign w:val="bottom"/>
          </w:tcPr>
          <w:p>
            <w:pPr>
              <w:jc w:val="right"/>
              <w:ind w:right="17"/>
              <w:spacing w:after="0"/>
              <w:rPr>
                <w:sz w:val="20"/>
                <w:szCs w:val="20"/>
                <w:color w:val="auto"/>
              </w:rPr>
            </w:pPr>
            <w:r>
              <w:rPr>
                <w:rFonts w:ascii="Arial" w:cs="Arial" w:eastAsia="Arial" w:hAnsi="Arial"/>
                <w:sz w:val="11"/>
                <w:szCs w:val="11"/>
                <w:color w:val="008000"/>
              </w:rPr>
              <w:t>(2)(3)</w:t>
            </w:r>
          </w:p>
        </w:tc>
        <w:tc>
          <w:tcPr>
            <w:tcW w:w="40" w:type="dxa"/>
            <w:vAlign w:val="bottom"/>
          </w:tcPr>
          <w:p>
            <w:pPr>
              <w:spacing w:after="0"/>
              <w:rPr>
                <w:sz w:val="17"/>
                <w:szCs w:val="17"/>
                <w:color w:val="auto"/>
              </w:rPr>
            </w:pPr>
          </w:p>
        </w:tc>
        <w:tc>
          <w:tcPr>
            <w:tcW w:w="1260" w:type="dxa"/>
            <w:vAlign w:val="bottom"/>
            <w:gridSpan w:val="3"/>
          </w:tcPr>
          <w:p>
            <w:pPr>
              <w:jc w:val="right"/>
              <w:ind w:right="302"/>
              <w:spacing w:after="0"/>
              <w:rPr>
                <w:sz w:val="20"/>
                <w:szCs w:val="20"/>
                <w:color w:val="auto"/>
              </w:rPr>
            </w:pPr>
            <w:r>
              <w:rPr>
                <w:rFonts w:ascii="Arial" w:cs="Arial" w:eastAsia="Arial" w:hAnsi="Arial"/>
                <w:sz w:val="17"/>
                <w:szCs w:val="17"/>
                <w:color w:val="0000FF"/>
              </w:rPr>
              <w:t>474,540</w:t>
            </w:r>
          </w:p>
        </w:tc>
        <w:tc>
          <w:tcPr>
            <w:tcW w:w="280" w:type="dxa"/>
            <w:vAlign w:val="bottom"/>
          </w:tcPr>
          <w:p>
            <w:pPr>
              <w:spacing w:after="0"/>
              <w:rPr>
                <w:sz w:val="17"/>
                <w:szCs w:val="17"/>
                <w:color w:val="auto"/>
              </w:rPr>
            </w:pPr>
          </w:p>
        </w:tc>
        <w:tc>
          <w:tcPr>
            <w:tcW w:w="660" w:type="dxa"/>
            <w:vAlign w:val="bottom"/>
          </w:tcPr>
          <w:p>
            <w:pPr>
              <w:ind w:left="40"/>
              <w:spacing w:after="0" w:line="203" w:lineRule="exact"/>
              <w:rPr>
                <w:sz w:val="20"/>
                <w:szCs w:val="20"/>
                <w:color w:val="auto"/>
              </w:rPr>
            </w:pPr>
            <w:r>
              <w:rPr>
                <w:rFonts w:ascii="Arial" w:cs="Arial" w:eastAsia="Arial" w:hAnsi="Arial"/>
                <w:sz w:val="23"/>
                <w:szCs w:val="23"/>
                <w:color w:val="0000FF"/>
                <w:vertAlign w:val="subscript"/>
              </w:rPr>
              <w:t>I</w:t>
            </w:r>
            <w:r>
              <w:rPr>
                <w:rFonts w:ascii="Arial" w:cs="Arial" w:eastAsia="Arial" w:hAnsi="Arial"/>
                <w:sz w:val="9"/>
                <w:szCs w:val="9"/>
                <w:color w:val="008000"/>
              </w:rPr>
              <w:t>(4)</w:t>
            </w:r>
          </w:p>
        </w:tc>
        <w:tc>
          <w:tcPr>
            <w:tcW w:w="820" w:type="dxa"/>
            <w:vAlign w:val="bottom"/>
            <w:gridSpan w:val="3"/>
          </w:tcPr>
          <w:p>
            <w:pPr>
              <w:spacing w:after="0"/>
              <w:rPr>
                <w:sz w:val="20"/>
                <w:szCs w:val="20"/>
                <w:color w:val="auto"/>
              </w:rPr>
            </w:pPr>
            <w:r>
              <w:rPr>
                <w:rFonts w:ascii="Arial" w:cs="Arial" w:eastAsia="Arial" w:hAnsi="Arial"/>
                <w:sz w:val="17"/>
                <w:szCs w:val="17"/>
                <w:color w:val="0000FF"/>
              </w:rPr>
              <w:t>Gehl</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Living</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By the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Jeff P.</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00" w:type="dxa"/>
            <w:vAlign w:val="bottom"/>
            <w:gridSpan w:val="3"/>
          </w:tcPr>
          <w:p>
            <w:pPr>
              <w:ind w:left="60"/>
              <w:spacing w:after="0" w:line="204" w:lineRule="exact"/>
              <w:rPr>
                <w:sz w:val="20"/>
                <w:szCs w:val="20"/>
                <w:color w:val="auto"/>
              </w:rPr>
            </w:pPr>
            <w:r>
              <w:rPr>
                <w:rFonts w:ascii="Arial" w:cs="Arial" w:eastAsia="Arial" w:hAnsi="Arial"/>
                <w:sz w:val="17"/>
                <w:szCs w:val="17"/>
                <w:color w:val="0000FF"/>
              </w:rPr>
              <w:t>Class A Common Stock</w:t>
            </w:r>
            <w:r>
              <w:rPr>
                <w:rFonts w:ascii="Arial" w:cs="Arial" w:eastAsia="Arial" w:hAnsi="Arial"/>
                <w:sz w:val="21"/>
                <w:szCs w:val="21"/>
                <w:color w:val="008000"/>
                <w:vertAlign w:val="superscript"/>
              </w:rPr>
              <w:t>(1)</w:t>
            </w:r>
          </w:p>
        </w:tc>
        <w:tc>
          <w:tcPr>
            <w:tcW w:w="1840" w:type="dxa"/>
            <w:vAlign w:val="bottom"/>
            <w:gridSpan w:val="2"/>
          </w:tcPr>
          <w:p>
            <w:pPr>
              <w:jc w:val="center"/>
              <w:ind w:left="693"/>
              <w:spacing w:after="0"/>
              <w:rPr>
                <w:sz w:val="20"/>
                <w:szCs w:val="20"/>
                <w:color w:val="auto"/>
              </w:rPr>
            </w:pPr>
            <w:r>
              <w:rPr>
                <w:rFonts w:ascii="Arial" w:cs="Arial" w:eastAsia="Arial" w:hAnsi="Arial"/>
                <w:sz w:val="17"/>
                <w:szCs w:val="17"/>
                <w:color w:val="0000FF"/>
                <w:w w:val="89"/>
              </w:rPr>
              <w:t>10/25/2021</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center"/>
              <w:ind w:right="120"/>
              <w:spacing w:after="0"/>
              <w:rPr>
                <w:sz w:val="20"/>
                <w:szCs w:val="20"/>
                <w:color w:val="auto"/>
              </w:rPr>
            </w:pPr>
            <w:r>
              <w:rPr>
                <w:rFonts w:ascii="Arial" w:cs="Arial" w:eastAsia="Arial" w:hAnsi="Arial"/>
                <w:sz w:val="13"/>
                <w:szCs w:val="13"/>
                <w:color w:val="0000FF"/>
                <w:w w:val="91"/>
              </w:rPr>
              <w:t>S</w:t>
            </w:r>
          </w:p>
        </w:tc>
        <w:tc>
          <w:tcPr>
            <w:tcW w:w="200" w:type="dxa"/>
            <w:vAlign w:val="bottom"/>
          </w:tcPr>
          <w:p>
            <w:pPr>
              <w:spacing w:after="0"/>
              <w:rPr>
                <w:sz w:val="17"/>
                <w:szCs w:val="17"/>
                <w:color w:val="auto"/>
              </w:rPr>
            </w:pPr>
          </w:p>
        </w:tc>
        <w:tc>
          <w:tcPr>
            <w:tcW w:w="640" w:type="dxa"/>
            <w:vAlign w:val="bottom"/>
            <w:gridSpan w:val="2"/>
          </w:tcPr>
          <w:p>
            <w:pPr>
              <w:ind w:left="100"/>
              <w:spacing w:after="0"/>
              <w:rPr>
                <w:sz w:val="20"/>
                <w:szCs w:val="20"/>
                <w:color w:val="auto"/>
              </w:rPr>
            </w:pPr>
            <w:r>
              <w:rPr>
                <w:rFonts w:ascii="Arial" w:cs="Arial" w:eastAsia="Arial" w:hAnsi="Arial"/>
                <w:sz w:val="17"/>
                <w:szCs w:val="17"/>
                <w:color w:val="0000FF"/>
                <w:w w:val="84"/>
              </w:rPr>
              <w:t>474,540</w:t>
            </w:r>
          </w:p>
        </w:tc>
        <w:tc>
          <w:tcPr>
            <w:tcW w:w="520" w:type="dxa"/>
            <w:vAlign w:val="bottom"/>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Pr>
          <w:p>
            <w:pPr>
              <w:jc w:val="right"/>
              <w:ind w:right="1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12</w:t>
            </w:r>
          </w:p>
        </w:tc>
        <w:tc>
          <w:tcPr>
            <w:tcW w:w="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0000FF"/>
              </w:rPr>
              <w:t>0</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ind w:left="40"/>
              <w:spacing w:after="0" w:line="203" w:lineRule="exact"/>
              <w:rPr>
                <w:sz w:val="20"/>
                <w:szCs w:val="20"/>
                <w:color w:val="auto"/>
              </w:rPr>
            </w:pPr>
            <w:r>
              <w:rPr>
                <w:rFonts w:ascii="Arial" w:cs="Arial" w:eastAsia="Arial" w:hAnsi="Arial"/>
                <w:sz w:val="23"/>
                <w:szCs w:val="23"/>
                <w:color w:val="0000FF"/>
                <w:vertAlign w:val="subscript"/>
              </w:rPr>
              <w:t>I</w:t>
            </w:r>
            <w:r>
              <w:rPr>
                <w:rFonts w:ascii="Arial" w:cs="Arial" w:eastAsia="Arial" w:hAnsi="Arial"/>
                <w:sz w:val="9"/>
                <w:szCs w:val="9"/>
                <w:color w:val="008000"/>
              </w:rPr>
              <w:t>(4)</w:t>
            </w:r>
          </w:p>
        </w:tc>
        <w:tc>
          <w:tcPr>
            <w:tcW w:w="820" w:type="dxa"/>
            <w:vAlign w:val="bottom"/>
            <w:gridSpan w:val="3"/>
          </w:tcPr>
          <w:p>
            <w:pPr>
              <w:spacing w:after="0"/>
              <w:rPr>
                <w:sz w:val="20"/>
                <w:szCs w:val="20"/>
                <w:color w:val="auto"/>
              </w:rPr>
            </w:pPr>
            <w:r>
              <w:rPr>
                <w:rFonts w:ascii="Arial" w:cs="Arial" w:eastAsia="Arial" w:hAnsi="Arial"/>
                <w:sz w:val="17"/>
                <w:szCs w:val="17"/>
                <w:color w:val="0000FF"/>
              </w:rPr>
              <w:t>Gehl</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Living</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4"/>
          </w:tcPr>
          <w:p>
            <w:pPr>
              <w:spacing w:after="0"/>
              <w:rPr>
                <w:sz w:val="8"/>
                <w:szCs w:val="8"/>
                <w:color w:val="auto"/>
              </w:rPr>
            </w:pPr>
          </w:p>
        </w:tc>
        <w:tc>
          <w:tcPr>
            <w:tcW w:w="2600" w:type="dxa"/>
            <w:vAlign w:val="bottom"/>
            <w:tcBorders>
              <w:bottom w:val="single" w:sz="8" w:color="2C2C2C"/>
            </w:tcBorders>
            <w:gridSpan w:val="6"/>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9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50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940" w:type="dxa"/>
            <w:vAlign w:val="bottom"/>
            <w:gridSpan w:val="3"/>
          </w:tcPr>
          <w:p>
            <w:pPr>
              <w:ind w:left="20"/>
              <w:spacing w:after="0"/>
              <w:rPr>
                <w:sz w:val="20"/>
                <w:szCs w:val="20"/>
                <w:color w:val="auto"/>
              </w:rPr>
            </w:pPr>
            <w:r>
              <w:rPr>
                <w:rFonts w:ascii="Arial" w:cs="Arial" w:eastAsia="Arial" w:hAnsi="Arial"/>
                <w:sz w:val="11"/>
                <w:szCs w:val="11"/>
                <w:b w:val="1"/>
                <w:bCs w:val="1"/>
                <w:color w:val="auto"/>
                <w:w w:val="99"/>
              </w:rPr>
              <w:t>(Month/Day/Year)</w:t>
            </w:r>
          </w:p>
        </w:tc>
        <w:tc>
          <w:tcPr>
            <w:tcW w:w="500" w:type="dxa"/>
            <w:vAlign w:val="bottom"/>
          </w:tcPr>
          <w:p>
            <w:pPr>
              <w:spacing w:after="0"/>
              <w:rPr>
                <w:sz w:val="11"/>
                <w:szCs w:val="11"/>
                <w:color w:val="auto"/>
              </w:rPr>
            </w:pP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3"/>
                <w:szCs w:val="13"/>
                <w:color w:val="0000FF"/>
              </w:rPr>
              <w:t>Class A</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3"/>
                <w:szCs w:val="13"/>
                <w:color w:val="0000FF"/>
              </w:rPr>
              <w:t>By the Jeff</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20" w:type="dxa"/>
            <w:vAlign w:val="bottom"/>
            <w:vMerge w:val="restart"/>
          </w:tcPr>
          <w:p>
            <w:pPr>
              <w:jc w:val="right"/>
              <w:ind w:right="17"/>
              <w:spacing w:after="0"/>
              <w:rPr>
                <w:sz w:val="20"/>
                <w:szCs w:val="20"/>
                <w:color w:val="auto"/>
              </w:rPr>
            </w:pPr>
            <w:r>
              <w:rPr>
                <w:rFonts w:ascii="Arial" w:cs="Arial" w:eastAsia="Arial" w:hAnsi="Arial"/>
                <w:sz w:val="17"/>
                <w:szCs w:val="17"/>
                <w:color w:val="0000FF"/>
                <w:w w:val="84"/>
              </w:rPr>
              <w:t>474,540</w:t>
            </w: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vMerge w:val="restart"/>
          </w:tcPr>
          <w:p>
            <w:pPr>
              <w:ind w:left="300"/>
              <w:spacing w:after="0" w:line="200" w:lineRule="exact"/>
              <w:rPr>
                <w:sz w:val="20"/>
                <w:szCs w:val="20"/>
                <w:color w:val="auto"/>
              </w:rPr>
            </w:pPr>
            <w:r>
              <w:rPr>
                <w:rFonts w:ascii="Arial" w:cs="Arial" w:eastAsia="Arial" w:hAnsi="Arial"/>
                <w:sz w:val="23"/>
                <w:szCs w:val="23"/>
                <w:color w:val="0000FF"/>
                <w:vertAlign w:val="subscript"/>
              </w:rPr>
              <w:t>I</w:t>
            </w:r>
            <w:r>
              <w:rPr>
                <w:rFonts w:ascii="Arial" w:cs="Arial" w:eastAsia="Arial" w:hAnsi="Arial"/>
                <w:sz w:val="10"/>
                <w:szCs w:val="10"/>
                <w:color w:val="008000"/>
              </w:rPr>
              <w:t>(4)</w:t>
            </w:r>
          </w:p>
        </w:tc>
        <w:tc>
          <w:tcPr>
            <w:tcW w:w="820" w:type="dxa"/>
            <w:vAlign w:val="bottom"/>
            <w:tcBorders>
              <w:right w:val="single" w:sz="8" w:color="2C2C2C"/>
            </w:tcBorders>
            <w:gridSpan w:val="3"/>
            <w:vMerge w:val="restart"/>
          </w:tcPr>
          <w:p>
            <w:pPr>
              <w:ind w:left="140"/>
              <w:spacing w:after="0" w:line="140" w:lineRule="exact"/>
              <w:rPr>
                <w:sz w:val="20"/>
                <w:szCs w:val="20"/>
                <w:color w:val="auto"/>
              </w:rPr>
            </w:pPr>
            <w:r>
              <w:rPr>
                <w:rFonts w:ascii="Arial" w:cs="Arial" w:eastAsia="Arial" w:hAnsi="Arial"/>
                <w:sz w:val="13"/>
                <w:szCs w:val="13"/>
                <w:color w:val="0000FF"/>
              </w:rPr>
              <w:t>P. Gehl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60" w:type="dxa"/>
            <w:vAlign w:val="bottom"/>
            <w:vMerge w:val="restart"/>
          </w:tcPr>
          <w:p>
            <w:pPr>
              <w:ind w:left="260"/>
              <w:spacing w:after="0"/>
              <w:rPr>
                <w:sz w:val="20"/>
                <w:szCs w:val="20"/>
                <w:color w:val="auto"/>
              </w:rPr>
            </w:pPr>
            <w:r>
              <w:rPr>
                <w:rFonts w:ascii="Arial" w:cs="Arial" w:eastAsia="Arial" w:hAnsi="Arial"/>
                <w:sz w:val="11"/>
                <w:szCs w:val="11"/>
                <w:color w:val="008000"/>
              </w:rPr>
              <w:t>(2)(3)</w:t>
            </w:r>
          </w:p>
        </w:tc>
        <w:tc>
          <w:tcPr>
            <w:tcW w:w="1060" w:type="dxa"/>
            <w:vAlign w:val="bottom"/>
            <w:vMerge w:val="restart"/>
          </w:tcPr>
          <w:p>
            <w:pPr>
              <w:jc w:val="right"/>
              <w:ind w:right="161"/>
              <w:spacing w:after="0"/>
              <w:rPr>
                <w:sz w:val="20"/>
                <w:szCs w:val="20"/>
                <w:color w:val="auto"/>
              </w:rPr>
            </w:pPr>
            <w:r>
              <w:rPr>
                <w:rFonts w:ascii="Arial" w:cs="Arial" w:eastAsia="Arial" w:hAnsi="Arial"/>
                <w:sz w:val="13"/>
                <w:szCs w:val="13"/>
                <w:color w:val="0000FF"/>
              </w:rPr>
              <w:t>10/25/2021</w:t>
            </w:r>
          </w:p>
        </w:tc>
        <w:tc>
          <w:tcPr>
            <w:tcW w:w="1080" w:type="dxa"/>
            <w:vAlign w:val="bottom"/>
          </w:tcPr>
          <w:p>
            <w:pPr>
              <w:spacing w:after="0"/>
              <w:rPr>
                <w:sz w:val="7"/>
                <w:szCs w:val="7"/>
                <w:color w:val="auto"/>
              </w:rPr>
            </w:pPr>
          </w:p>
        </w:tc>
        <w:tc>
          <w:tcPr>
            <w:tcW w:w="760" w:type="dxa"/>
            <w:vAlign w:val="bottom"/>
            <w:vMerge w:val="restart"/>
          </w:tcPr>
          <w:p>
            <w:pPr>
              <w:jc w:val="center"/>
              <w:ind w:right="262"/>
              <w:spacing w:after="0"/>
              <w:rPr>
                <w:sz w:val="20"/>
                <w:szCs w:val="20"/>
                <w:color w:val="auto"/>
              </w:rPr>
            </w:pPr>
            <w:r>
              <w:rPr>
                <w:rFonts w:ascii="Arial" w:cs="Arial" w:eastAsia="Arial" w:hAnsi="Arial"/>
                <w:sz w:val="13"/>
                <w:szCs w:val="13"/>
                <w:color w:val="0000FF"/>
                <w:w w:val="84"/>
              </w:rPr>
              <w:t>C</w:t>
            </w:r>
          </w:p>
        </w:tc>
        <w:tc>
          <w:tcPr>
            <w:tcW w:w="940" w:type="dxa"/>
            <w:vAlign w:val="bottom"/>
            <w:vMerge w:val="restart"/>
          </w:tcPr>
          <w:p>
            <w:pPr>
              <w:ind w:left="400"/>
              <w:spacing w:after="0"/>
              <w:rPr>
                <w:sz w:val="20"/>
                <w:szCs w:val="20"/>
                <w:color w:val="auto"/>
              </w:rPr>
            </w:pPr>
            <w:r>
              <w:rPr>
                <w:rFonts w:ascii="Arial" w:cs="Arial" w:eastAsia="Arial" w:hAnsi="Arial"/>
                <w:sz w:val="13"/>
                <w:szCs w:val="13"/>
                <w:color w:val="0000FF"/>
              </w:rPr>
              <w:t>474,540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9"/>
              </w:rPr>
              <w:t>(2)(3)</w:t>
            </w:r>
          </w:p>
        </w:tc>
        <w:tc>
          <w:tcPr>
            <w:tcW w:w="200" w:type="dxa"/>
            <w:vAlign w:val="bottom"/>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1"/>
                <w:szCs w:val="11"/>
                <w:color w:val="008000"/>
              </w:rPr>
              <w:t>(2)(3)</w:t>
            </w: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2"/>
            <w:vMerge w:val="restart"/>
          </w:tcPr>
          <w:p>
            <w:pPr>
              <w:ind w:left="180"/>
              <w:spacing w:after="0"/>
              <w:rPr>
                <w:sz w:val="20"/>
                <w:szCs w:val="20"/>
                <w:color w:val="auto"/>
              </w:rPr>
            </w:pPr>
            <w:r>
              <w:rPr>
                <w:rFonts w:ascii="Arial" w:cs="Arial" w:eastAsia="Arial" w:hAnsi="Arial"/>
                <w:sz w:val="11"/>
                <w:szCs w:val="11"/>
                <w:color w:val="008000"/>
              </w:rPr>
              <w:t>(2)(3)</w:t>
            </w:r>
          </w:p>
        </w:tc>
        <w:tc>
          <w:tcPr>
            <w:tcW w:w="840" w:type="dxa"/>
            <w:vAlign w:val="bottom"/>
            <w:gridSpan w:val="2"/>
            <w:vMerge w:val="restart"/>
          </w:tcPr>
          <w:p>
            <w:pPr>
              <w:ind w:left="140"/>
              <w:spacing w:after="0"/>
              <w:rPr>
                <w:sz w:val="20"/>
                <w:szCs w:val="20"/>
                <w:color w:val="auto"/>
              </w:rPr>
            </w:pPr>
            <w:r>
              <w:rPr>
                <w:rFonts w:ascii="Arial" w:cs="Arial" w:eastAsia="Arial" w:hAnsi="Arial"/>
                <w:sz w:val="13"/>
                <w:szCs w:val="13"/>
                <w:color w:val="0000FF"/>
              </w:rPr>
              <w:t>4,430,734</w:t>
            </w:r>
          </w:p>
        </w:tc>
        <w:tc>
          <w:tcPr>
            <w:tcW w:w="660" w:type="dxa"/>
            <w:vAlign w:val="bottom"/>
            <w:vMerge w:val="continue"/>
          </w:tcPr>
          <w:p>
            <w:pPr>
              <w:spacing w:after="0"/>
              <w:rPr>
                <w:sz w:val="7"/>
                <w:szCs w:val="7"/>
                <w:color w:val="auto"/>
              </w:rPr>
            </w:pPr>
          </w:p>
        </w:tc>
        <w:tc>
          <w:tcPr>
            <w:tcW w:w="820" w:type="dxa"/>
            <w:vAlign w:val="bottom"/>
            <w:tcBorders>
              <w:right w:val="single" w:sz="8" w:color="2C2C2C"/>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Arial" w:cs="Arial" w:eastAsia="Arial" w:hAnsi="Arial"/>
                <w:sz w:val="13"/>
                <w:szCs w:val="13"/>
                <w:color w:val="0000FF"/>
              </w:rPr>
              <w:t>Living</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0"/>
                <w:szCs w:val="10"/>
                <w:color w:val="0000FF"/>
              </w:rPr>
              <w:t>Stock</w:t>
            </w:r>
            <w:r>
              <w:rPr>
                <w:rFonts w:ascii="Arial" w:cs="Arial" w:eastAsia="Arial" w:hAnsi="Arial"/>
                <w:sz w:val="16"/>
                <w:szCs w:val="16"/>
                <w:color w:val="008000"/>
                <w:vertAlign w:val="superscript"/>
              </w:rPr>
              <w:t>(1)</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line="140"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Borders>
              <w:right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right w:val="single" w:sz="8" w:color="2C2C2C"/>
            </w:tcBorders>
            <w:gridSpan w:val="3"/>
          </w:tcPr>
          <w:p>
            <w:pPr>
              <w:ind w:left="140"/>
              <w:spacing w:after="0" w:line="140" w:lineRule="exact"/>
              <w:rPr>
                <w:sz w:val="20"/>
                <w:szCs w:val="20"/>
                <w:color w:val="auto"/>
              </w:rPr>
            </w:pPr>
            <w:r>
              <w:rPr>
                <w:rFonts w:ascii="Arial" w:cs="Arial" w:eastAsia="Arial" w:hAnsi="Arial"/>
                <w:sz w:val="13"/>
                <w:szCs w:val="13"/>
                <w:color w:val="0000FF"/>
              </w:rPr>
              <w:t>Trust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-1831340</wp:posOffset>
            </wp:positionV>
            <wp:extent cx="28575" cy="18364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83642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260"/>
        <w:spacing w:after="0" w:line="287" w:lineRule="auto"/>
        <w:tabs>
          <w:tab w:leader="none" w:pos="16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Form 4 is being filed by Jeff P. Gehl and the Jeff P. Gehl Living Trust (the "Gehl Trust" and together with Mr. Gehl, the "Reporting Persons"). The Reporting Persons are members of a Section 13(d) group that collectively beneficially owns more than 10% of the Issuer's outstanding Common Stock. The securities reported herein do not include any securities held by any group member other than the Reporting Persons, as such securities are being reported in separate Form 4 filings. The Reporting Persons disclaim beneficial ownership of the securities of the Issuer reported herein, except to the extent of his or its pecuniary interest therein, and the filing of this Form 4 shall not be construed as an admission that the Reporting Persons are the beneficial owners of the securities of the Issuer reported herein.</w:t>
      </w:r>
    </w:p>
    <w:p>
      <w:pPr>
        <w:spacing w:after="0" w:line="6" w:lineRule="exact"/>
        <w:rPr>
          <w:rFonts w:ascii="Arial" w:cs="Arial" w:eastAsia="Arial" w:hAnsi="Arial"/>
          <w:sz w:val="11"/>
          <w:szCs w:val="11"/>
          <w:color w:val="008000"/>
        </w:rPr>
      </w:pPr>
    </w:p>
    <w:p>
      <w:pPr>
        <w:ind w:left="40" w:right="300"/>
        <w:spacing w:after="0" w:line="244"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Holders of Class B Common Stock may elect to convert such shares on a one-for-one basis into Class A Common Stock at any time. After a Sunset (as defined below) becomes effective, each share of Class B Common Stock will automatically convert into Class A Common Stock.</w:t>
      </w:r>
    </w:p>
    <w:p>
      <w:pPr>
        <w:spacing w:after="0" w:line="27" w:lineRule="exact"/>
        <w:rPr>
          <w:rFonts w:ascii="Arial" w:cs="Arial" w:eastAsia="Arial" w:hAnsi="Arial"/>
          <w:sz w:val="13"/>
          <w:szCs w:val="13"/>
          <w:color w:val="008000"/>
        </w:rPr>
      </w:pPr>
    </w:p>
    <w:p>
      <w:pPr>
        <w:ind w:left="40" w:right="160"/>
        <w:spacing w:after="0" w:line="231"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Continued from Footnote 2: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 On October 25, 2021, each Reporting Person directed the sale of shares of Class B Common Stock, as reported herein, resulting in the automatic conversion of the shares into Class A Common Stock upon execution of the sale.</w:t>
      </w:r>
    </w:p>
    <w:p>
      <w:pPr>
        <w:spacing w:after="0" w:line="3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securities of the Issuer owned directly by the Gehl Trust. As trustee of the Gehl Trust, Mr. Gehl may be deemed to beneficially own the securities of the Issuer owned directly by the Gehl Trust.</w:t>
      </w:r>
    </w:p>
    <w:p>
      <w:pPr>
        <w:spacing w:after="0" w:line="79"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/s/Amanda Coussens,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-12700</wp:posOffset>
            </wp:positionV>
            <wp:extent cx="1019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917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the</w:t>
      </w:r>
      <w:r>
        <w:rPr>
          <w:sz w:val="20"/>
          <w:szCs w:val="20"/>
          <w:color w:val="auto"/>
        </w:rPr>
        <w:tab/>
      </w:r>
      <w:r>
        <w:rPr>
          <w:rFonts w:ascii="Arial" w:cs="Arial" w:eastAsia="Arial" w:hAnsi="Arial"/>
          <w:sz w:val="14"/>
          <w:szCs w:val="14"/>
          <w:color w:val="0000FF"/>
        </w:rPr>
        <w:t>10/27/2021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-16510</wp:posOffset>
            </wp:positionV>
            <wp:extent cx="1877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Reporting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-16510</wp:posOffset>
            </wp:positionV>
            <wp:extent cx="773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4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28"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05527" TargetMode="External"/><Relationship Id="rId13"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2021-10-27T16:58:39Z</dcterms:created>
  <dcterms:modified xsi:type="dcterms:W3CDTF">2021-10-27T16:58:39Z</dcterms:modified>
</cp:coreProperties>
</file>