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340"/>
        <w:spacing w:after="0"/>
        <w:rPr>
          <w:sz w:val="20"/>
          <w:szCs w:val="20"/>
          <w:color w:val="auto"/>
        </w:rPr>
      </w:pPr>
      <w:r>
        <w:rPr>
          <w:rFonts w:ascii="Arial" w:cs="Arial" w:eastAsia="Arial" w:hAnsi="Arial"/>
          <w:sz w:val="22"/>
          <w:szCs w:val="22"/>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-154940</wp:posOffset>
            </wp:positionV>
            <wp:extent cx="1595120" cy="797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797560"/>
                    </a:xfrm>
                    <a:prstGeom prst="rect">
                      <a:avLst/>
                    </a:prstGeom>
                    <a:noFill/>
                  </pic:spPr>
                </pic:pic>
              </a:graphicData>
            </a:graphic>
          </wp:anchor>
        </w:drawing>
      </w:r>
    </w:p>
    <w:p>
      <w:pPr>
        <w:spacing w:after="0" w:line="2" w:lineRule="exact"/>
        <w:rPr>
          <w:sz w:val="20"/>
          <w:szCs w:val="20"/>
          <w:color w:val="auto"/>
        </w:rPr>
      </w:pPr>
    </w:p>
    <w:p>
      <w:pPr>
        <w:ind w:left="8980"/>
        <w:spacing w:after="0"/>
        <w:rPr>
          <w:sz w:val="20"/>
          <w:szCs w:val="20"/>
          <w:color w:val="auto"/>
        </w:rPr>
      </w:pPr>
      <w:r>
        <w:rPr>
          <w:rFonts w:ascii="Arial" w:cs="Arial" w:eastAsia="Arial" w:hAnsi="Arial"/>
          <w:sz w:val="21"/>
          <w:szCs w:val="21"/>
          <w:color w:val="auto"/>
        </w:rPr>
        <w:t>OMB Number: 3235-0145</w:t>
      </w:r>
    </w:p>
    <w:p>
      <w:pPr>
        <w:spacing w:after="0" w:line="2"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Expires: February 28, 2006</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19"/>
          <w:szCs w:val="19"/>
          <w:color w:val="auto"/>
        </w:rPr>
        <w:t>Estimated average burden</w:t>
      </w:r>
    </w:p>
    <w:p>
      <w:pPr>
        <w:spacing w:after="0" w:line="25" w:lineRule="exact"/>
        <w:rPr>
          <w:sz w:val="20"/>
          <w:szCs w:val="20"/>
          <w:color w:val="auto"/>
        </w:rPr>
      </w:pPr>
    </w:p>
    <w:p>
      <w:pPr>
        <w:ind w:left="8980"/>
        <w:spacing w:after="0"/>
        <w:rPr>
          <w:sz w:val="20"/>
          <w:szCs w:val="20"/>
          <w:color w:val="auto"/>
        </w:rPr>
      </w:pPr>
      <w:r>
        <w:rPr>
          <w:rFonts w:ascii="Arial" w:cs="Arial" w:eastAsia="Arial" w:hAnsi="Arial"/>
          <w:sz w:val="22"/>
          <w:szCs w:val="22"/>
          <w:color w:val="auto"/>
        </w:rPr>
        <w:t>hours per response...11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43"/>
          <w:szCs w:val="43"/>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00504W100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2005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13d-1(b)</w:t>
      </w:r>
    </w:p>
    <w:p>
      <w:pPr>
        <w:spacing w:after="0" w:line="198" w:lineRule="exact"/>
        <w:rPr>
          <w:sz w:val="20"/>
          <w:szCs w:val="20"/>
          <w:color w:val="auto"/>
        </w:rPr>
      </w:pPr>
    </w:p>
    <w:p>
      <w:pPr>
        <w:ind w:left="440" w:hanging="207"/>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 Rule 13d-1(d)</w:t>
      </w:r>
    </w:p>
    <w:p>
      <w:pPr>
        <w:spacing w:after="0" w:line="185" w:lineRule="exact"/>
        <w:rPr>
          <w:sz w:val="20"/>
          <w:szCs w:val="20"/>
          <w:color w:val="auto"/>
        </w:rPr>
      </w:pPr>
    </w:p>
    <w:p>
      <w:pPr>
        <w:ind w:right="18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7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88" w:right="25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00504W100</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North American Equity Investors, Inc.</w:t>
            </w:r>
          </w:p>
        </w:tc>
        <w:tc>
          <w:tcPr>
            <w:tcW w:w="0" w:type="dxa"/>
            <w:vAlign w:val="bottom"/>
          </w:tcPr>
          <w:p>
            <w:pPr>
              <w:spacing w:after="0"/>
              <w:rPr>
                <w:sz w:val="1"/>
                <w:szCs w:val="1"/>
                <w:color w:val="auto"/>
              </w:rPr>
            </w:pPr>
          </w:p>
        </w:tc>
      </w:tr>
      <w:tr>
        <w:trPr>
          <w:trHeight w:val="269"/>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47-0773534</w:t>
            </w:r>
          </w:p>
        </w:tc>
        <w:tc>
          <w:tcPr>
            <w:tcW w:w="12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4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4"/>
              </w:rPr>
              <w:t>Delaware</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5</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6</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2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rPr>
              <w:t>7</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40" w:type="dxa"/>
            <w:vAlign w:val="bottom"/>
          </w:tcPr>
          <w:p>
            <w:pPr>
              <w:spacing w:after="0"/>
              <w:rPr>
                <w:sz w:val="22"/>
                <w:szCs w:val="22"/>
                <w:color w:val="auto"/>
              </w:rPr>
            </w:pPr>
          </w:p>
        </w:tc>
        <w:tc>
          <w:tcPr>
            <w:tcW w:w="400" w:type="dxa"/>
            <w:vAlign w:val="bottom"/>
            <w:tcBorders>
              <w:right w:val="single" w:sz="8" w:color="auto"/>
            </w:tcBorders>
            <w:vMerge w:val="continue"/>
          </w:tcPr>
          <w:p>
            <w:pPr>
              <w:spacing w:after="0"/>
              <w:rPr>
                <w:sz w:val="22"/>
                <w:szCs w:val="22"/>
                <w:color w:val="auto"/>
              </w:rPr>
            </w:pPr>
          </w:p>
        </w:tc>
        <w:tc>
          <w:tcPr>
            <w:tcW w:w="12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rPr>
              <w:t>8</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N/A</w:t>
            </w:r>
          </w:p>
        </w:tc>
        <w:tc>
          <w:tcPr>
            <w:tcW w:w="0" w:type="dxa"/>
            <w:vAlign w:val="bottom"/>
          </w:tcPr>
          <w:p>
            <w:pPr>
              <w:spacing w:after="0"/>
              <w:rPr>
                <w:sz w:val="1"/>
                <w:szCs w:val="1"/>
                <w:color w:val="auto"/>
              </w:rPr>
            </w:pPr>
          </w:p>
        </w:tc>
      </w:tr>
      <w:tr>
        <w:trPr>
          <w:trHeight w:val="23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0.00%</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gridSpan w:val="2"/>
          </w:tcPr>
          <w:p>
            <w:pPr>
              <w:ind w:left="1960"/>
              <w:spacing w:after="0"/>
              <w:rPr>
                <w:sz w:val="20"/>
                <w:szCs w:val="20"/>
                <w:color w:val="auto"/>
              </w:rPr>
            </w:pPr>
            <w:r>
              <w:rPr>
                <w:rFonts w:ascii="Arial" w:cs="Arial" w:eastAsia="Arial" w:hAnsi="Arial"/>
                <w:sz w:val="18"/>
                <w:szCs w:val="18"/>
                <w:color w:val="auto"/>
              </w:rPr>
              <w:t>Page 2 of 7 pages</w:t>
            </w:r>
          </w:p>
        </w:tc>
        <w:tc>
          <w:tcPr>
            <w:tcW w:w="0" w:type="dxa"/>
            <w:vAlign w:val="bottom"/>
          </w:tcPr>
          <w:p>
            <w:pPr>
              <w:spacing w:after="0"/>
              <w:rPr>
                <w:sz w:val="1"/>
                <w:szCs w:val="1"/>
                <w:color w:val="auto"/>
              </w:rPr>
            </w:pPr>
          </w:p>
        </w:tc>
      </w:tr>
      <w:tr>
        <w:trPr>
          <w:trHeight w:val="226"/>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00504W100</w:t>
            </w:r>
          </w:p>
        </w:tc>
        <w:tc>
          <w:tcPr>
            <w:tcW w:w="8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954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right w:val="single" w:sz="8" w:color="auto"/>
            </w:tcBorders>
          </w:tcPr>
          <w:p>
            <w:pPr>
              <w:spacing w:after="0"/>
              <w:rPr>
                <w:sz w:val="21"/>
                <w:szCs w:val="21"/>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48"/>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Thompson Machinery Commerce Corporation</w:t>
            </w:r>
          </w:p>
        </w:tc>
        <w:tc>
          <w:tcPr>
            <w:tcW w:w="0" w:type="dxa"/>
            <w:vAlign w:val="bottom"/>
          </w:tcPr>
          <w:p>
            <w:pPr>
              <w:spacing w:after="0"/>
              <w:rPr>
                <w:sz w:val="1"/>
                <w:szCs w:val="1"/>
                <w:color w:val="auto"/>
              </w:rPr>
            </w:pPr>
          </w:p>
        </w:tc>
      </w:tr>
      <w:tr>
        <w:trPr>
          <w:trHeight w:val="269"/>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1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62-1098634</w:t>
            </w:r>
          </w:p>
        </w:tc>
        <w:tc>
          <w:tcPr>
            <w:tcW w:w="1240" w:type="dxa"/>
            <w:vAlign w:val="bottom"/>
            <w:tcBorders>
              <w:bottom w:val="single" w:sz="8" w:color="auto"/>
            </w:tcBorders>
          </w:tcPr>
          <w:p>
            <w:pPr>
              <w:spacing w:after="0"/>
              <w:rPr>
                <w:sz w:val="21"/>
                <w:szCs w:val="21"/>
                <w:color w:val="auto"/>
              </w:rPr>
            </w:pPr>
          </w:p>
        </w:tc>
        <w:tc>
          <w:tcPr>
            <w:tcW w:w="83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40" w:type="dxa"/>
            <w:vAlign w:val="bottom"/>
            <w:tcBorders>
              <w:right w:val="single" w:sz="8" w:color="auto"/>
            </w:tcBorders>
          </w:tcPr>
          <w:p>
            <w:pPr>
              <w:spacing w:after="0"/>
              <w:rPr>
                <w:sz w:val="23"/>
                <w:szCs w:val="23"/>
                <w:color w:val="auto"/>
              </w:rPr>
            </w:pP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6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60" w:type="dxa"/>
            <w:vAlign w:val="bottom"/>
            <w:tcBorders>
              <w:bottom w:val="single" w:sz="8" w:color="auto"/>
            </w:tcBorders>
            <w:gridSpan w:val="2"/>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8300" w:type="dxa"/>
            <w:vAlign w:val="bottom"/>
            <w:tcBorders>
              <w:bottom w:val="single" w:sz="8" w:color="auto"/>
            </w:tcBorders>
          </w:tcPr>
          <w:p>
            <w:pPr>
              <w:spacing w:after="0"/>
              <w:rPr>
                <w:sz w:val="23"/>
                <w:szCs w:val="23"/>
                <w:color w:val="auto"/>
              </w:rPr>
            </w:pPr>
          </w:p>
        </w:tc>
        <w:tc>
          <w:tcPr>
            <w:tcW w:w="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9540" w:type="dxa"/>
            <w:vAlign w:val="bottom"/>
            <w:tcBorders>
              <w:bottom w:val="single" w:sz="8" w:color="auto"/>
            </w:tcBorders>
            <w:gridSpan w:val="2"/>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83"/>
              </w:rPr>
              <w:t>Tennessee</w:t>
            </w: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5</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6</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2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Borders>
              <w:right w:val="single" w:sz="8" w:color="auto"/>
            </w:tcBorders>
            <w:vMerge w:val="restart"/>
          </w:tcPr>
          <w:p>
            <w:pPr>
              <w:jc w:val="right"/>
              <w:ind w:right="52"/>
              <w:spacing w:after="0"/>
              <w:rPr>
                <w:sz w:val="20"/>
                <w:szCs w:val="20"/>
                <w:color w:val="auto"/>
              </w:rPr>
            </w:pPr>
            <w:r>
              <w:rPr>
                <w:rFonts w:ascii="Arial" w:cs="Arial" w:eastAsia="Arial" w:hAnsi="Arial"/>
                <w:sz w:val="32"/>
                <w:szCs w:val="32"/>
                <w:b w:val="1"/>
                <w:bCs w:val="1"/>
                <w:color w:val="auto"/>
                <w:w w:val="89"/>
              </w:rPr>
              <w:t>7</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60" w:type="dxa"/>
            <w:vAlign w:val="bottom"/>
          </w:tcPr>
          <w:p>
            <w:pPr>
              <w:spacing w:after="0"/>
              <w:rPr>
                <w:sz w:val="22"/>
                <w:szCs w:val="22"/>
                <w:color w:val="auto"/>
              </w:rPr>
            </w:pPr>
          </w:p>
        </w:tc>
        <w:tc>
          <w:tcPr>
            <w:tcW w:w="380" w:type="dxa"/>
            <w:vAlign w:val="bottom"/>
            <w:tcBorders>
              <w:right w:val="single" w:sz="8" w:color="auto"/>
            </w:tcBorders>
            <w:vMerge w:val="continue"/>
          </w:tcPr>
          <w:p>
            <w:pPr>
              <w:spacing w:after="0"/>
              <w:rPr>
                <w:sz w:val="22"/>
                <w:szCs w:val="22"/>
                <w:color w:val="auto"/>
              </w:rPr>
            </w:pPr>
          </w:p>
        </w:tc>
        <w:tc>
          <w:tcPr>
            <w:tcW w:w="1240" w:type="dxa"/>
            <w:vAlign w:val="bottom"/>
          </w:tcPr>
          <w:p>
            <w:pPr>
              <w:spacing w:after="0"/>
              <w:rPr>
                <w:sz w:val="22"/>
                <w:szCs w:val="22"/>
                <w:color w:val="auto"/>
              </w:rPr>
            </w:pPr>
          </w:p>
        </w:tc>
        <w:tc>
          <w:tcPr>
            <w:tcW w:w="8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right w:val="single" w:sz="8" w:color="auto"/>
            </w:tcBorders>
          </w:tcPr>
          <w:p>
            <w:pPr>
              <w:jc w:val="right"/>
              <w:ind w:right="52"/>
              <w:spacing w:after="0"/>
              <w:rPr>
                <w:sz w:val="20"/>
                <w:szCs w:val="20"/>
                <w:color w:val="auto"/>
              </w:rPr>
            </w:pPr>
            <w:r>
              <w:rPr>
                <w:rFonts w:ascii="Arial" w:cs="Arial" w:eastAsia="Arial" w:hAnsi="Arial"/>
                <w:sz w:val="32"/>
                <w:szCs w:val="32"/>
                <w:b w:val="1"/>
                <w:bCs w:val="1"/>
                <w:color w:val="auto"/>
                <w:w w:val="89"/>
              </w:rPr>
              <w:t>8</w:t>
            </w:r>
          </w:p>
        </w:tc>
        <w:tc>
          <w:tcPr>
            <w:tcW w:w="958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 N/A</w:t>
            </w:r>
          </w:p>
        </w:tc>
        <w:tc>
          <w:tcPr>
            <w:tcW w:w="0" w:type="dxa"/>
            <w:vAlign w:val="bottom"/>
          </w:tcPr>
          <w:p>
            <w:pPr>
              <w:spacing w:after="0"/>
              <w:rPr>
                <w:sz w:val="1"/>
                <w:szCs w:val="1"/>
                <w:color w:val="auto"/>
              </w:rPr>
            </w:pPr>
          </w:p>
        </w:tc>
      </w:tr>
      <w:tr>
        <w:trPr>
          <w:trHeight w:val="23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0.00%</w:t>
            </w: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0820" w:type="dxa"/>
            <w:vAlign w:val="bottom"/>
            <w:tcBorders>
              <w:right w:val="single" w:sz="8" w:color="auto"/>
            </w:tcBorders>
            <w:gridSpan w:val="8"/>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CO</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3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2"/>
        </w:trPr>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340" w:type="dxa"/>
            <w:vAlign w:val="bottom"/>
            <w:gridSpan w:val="2"/>
          </w:tcPr>
          <w:p>
            <w:pPr>
              <w:ind w:left="1960"/>
              <w:spacing w:after="0"/>
              <w:rPr>
                <w:sz w:val="20"/>
                <w:szCs w:val="20"/>
                <w:color w:val="auto"/>
              </w:rPr>
            </w:pPr>
            <w:r>
              <w:rPr>
                <w:rFonts w:ascii="Arial" w:cs="Arial" w:eastAsia="Arial" w:hAnsi="Arial"/>
                <w:sz w:val="18"/>
                <w:szCs w:val="18"/>
                <w:color w:val="auto"/>
              </w:rPr>
              <w:t>Page 3 of 7 pages</w:t>
            </w:r>
          </w:p>
        </w:tc>
        <w:tc>
          <w:tcPr>
            <w:tcW w:w="0" w:type="dxa"/>
            <w:vAlign w:val="bottom"/>
          </w:tcPr>
          <w:p>
            <w:pPr>
              <w:spacing w:after="0"/>
              <w:rPr>
                <w:sz w:val="1"/>
                <w:szCs w:val="1"/>
                <w:color w:val="auto"/>
              </w:rPr>
            </w:pPr>
          </w:p>
        </w:tc>
      </w:tr>
      <w:tr>
        <w:trPr>
          <w:trHeight w:val="226"/>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440" w:type="dxa"/>
            <w:vAlign w:val="bottom"/>
          </w:tcPr>
          <w:p>
            <w:pPr>
              <w:jc w:val="right"/>
              <w:ind w:right="810"/>
              <w:spacing w:after="0"/>
              <w:rPr>
                <w:sz w:val="20"/>
                <w:szCs w:val="20"/>
                <w:color w:val="auto"/>
              </w:rPr>
            </w:pPr>
            <w:r>
              <w:rPr>
                <w:rFonts w:ascii="Arial" w:cs="Arial" w:eastAsia="Arial" w:hAnsi="Arial"/>
                <w:sz w:val="18"/>
                <w:szCs w:val="18"/>
                <w:b w:val="1"/>
                <w:bCs w:val="1"/>
                <w:color w:val="auto"/>
                <w:w w:val="91"/>
              </w:rPr>
              <w:t>Item 1.</w:t>
            </w:r>
          </w:p>
        </w:tc>
        <w:tc>
          <w:tcPr>
            <w:tcW w:w="53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2"/>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(a)</w:t>
            </w:r>
          </w:p>
        </w:tc>
        <w:tc>
          <w:tcPr>
            <w:tcW w:w="5320" w:type="dxa"/>
            <w:vAlign w:val="bottom"/>
          </w:tcPr>
          <w:p>
            <w:pPr>
              <w:ind w:left="300"/>
              <w:spacing w:after="0"/>
              <w:rPr>
                <w:sz w:val="20"/>
                <w:szCs w:val="20"/>
                <w:color w:val="auto"/>
              </w:rPr>
            </w:pPr>
            <w:r>
              <w:rPr>
                <w:rFonts w:ascii="Arial" w:cs="Arial" w:eastAsia="Arial" w:hAnsi="Arial"/>
                <w:sz w:val="18"/>
                <w:szCs w:val="18"/>
                <w:color w:val="auto"/>
              </w:rPr>
              <w:t>Name of Issuer:</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Active Power, Inc.</w:t>
            </w:r>
          </w:p>
        </w:tc>
      </w:tr>
      <w:tr>
        <w:trPr>
          <w:trHeight w:val="414"/>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(b)</w:t>
            </w:r>
          </w:p>
        </w:tc>
        <w:tc>
          <w:tcPr>
            <w:tcW w:w="5320" w:type="dxa"/>
            <w:vAlign w:val="bottom"/>
          </w:tcPr>
          <w:p>
            <w:pPr>
              <w:ind w:left="300"/>
              <w:spacing w:after="0"/>
              <w:rPr>
                <w:sz w:val="20"/>
                <w:szCs w:val="20"/>
                <w:color w:val="auto"/>
              </w:rPr>
            </w:pPr>
            <w:r>
              <w:rPr>
                <w:rFonts w:ascii="Arial" w:cs="Arial" w:eastAsia="Arial" w:hAnsi="Arial"/>
                <w:sz w:val="18"/>
                <w:szCs w:val="18"/>
                <w:color w:val="auto"/>
              </w:rPr>
              <w:t>Address of Issuer’s Principal Executive Offices:</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w w:val="99"/>
              </w:rPr>
              <w:t>11525 Stonehollow Drive Suite 110</w:t>
            </w:r>
          </w:p>
        </w:tc>
      </w:tr>
      <w:tr>
        <w:trPr>
          <w:trHeight w:val="234"/>
        </w:trPr>
        <w:tc>
          <w:tcPr>
            <w:tcW w:w="14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Austin, TX 78758</w:t>
            </w:r>
          </w:p>
        </w:tc>
      </w:tr>
      <w:tr>
        <w:trPr>
          <w:trHeight w:val="432"/>
        </w:trPr>
        <w:tc>
          <w:tcPr>
            <w:tcW w:w="1440" w:type="dxa"/>
            <w:vAlign w:val="bottom"/>
          </w:tcPr>
          <w:p>
            <w:pPr>
              <w:jc w:val="right"/>
              <w:ind w:right="810"/>
              <w:spacing w:after="0"/>
              <w:rPr>
                <w:sz w:val="20"/>
                <w:szCs w:val="20"/>
                <w:color w:val="auto"/>
              </w:rPr>
            </w:pPr>
            <w:r>
              <w:rPr>
                <w:rFonts w:ascii="Arial" w:cs="Arial" w:eastAsia="Arial" w:hAnsi="Arial"/>
                <w:sz w:val="18"/>
                <w:szCs w:val="18"/>
                <w:b w:val="1"/>
                <w:bCs w:val="1"/>
                <w:color w:val="auto"/>
                <w:w w:val="91"/>
              </w:rPr>
              <w:t>Item 2.</w:t>
            </w:r>
          </w:p>
        </w:tc>
        <w:tc>
          <w:tcPr>
            <w:tcW w:w="532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432"/>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(a)</w:t>
            </w:r>
          </w:p>
        </w:tc>
        <w:tc>
          <w:tcPr>
            <w:tcW w:w="5320" w:type="dxa"/>
            <w:vAlign w:val="bottom"/>
          </w:tcPr>
          <w:p>
            <w:pPr>
              <w:ind w:left="300"/>
              <w:spacing w:after="0"/>
              <w:rPr>
                <w:sz w:val="20"/>
                <w:szCs w:val="20"/>
                <w:color w:val="auto"/>
              </w:rPr>
            </w:pPr>
            <w:r>
              <w:rPr>
                <w:rFonts w:ascii="Arial" w:cs="Arial" w:eastAsia="Arial" w:hAnsi="Arial"/>
                <w:sz w:val="18"/>
                <w:szCs w:val="18"/>
                <w:color w:val="auto"/>
              </w:rPr>
              <w:t>Name of Person Filing</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w w:val="91"/>
              </w:rPr>
              <w:t>North American Equity Investors, Inc.</w:t>
            </w:r>
          </w:p>
        </w:tc>
      </w:tr>
      <w:tr>
        <w:trPr>
          <w:trHeight w:val="414"/>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(b)</w:t>
            </w:r>
          </w:p>
        </w:tc>
        <w:tc>
          <w:tcPr>
            <w:tcW w:w="5320" w:type="dxa"/>
            <w:vAlign w:val="bottom"/>
          </w:tcPr>
          <w:p>
            <w:pPr>
              <w:ind w:left="300"/>
              <w:spacing w:after="0"/>
              <w:rPr>
                <w:sz w:val="20"/>
                <w:szCs w:val="20"/>
                <w:color w:val="auto"/>
              </w:rPr>
            </w:pPr>
            <w:r>
              <w:rPr>
                <w:rFonts w:ascii="Arial" w:cs="Arial" w:eastAsia="Arial" w:hAnsi="Arial"/>
                <w:sz w:val="18"/>
                <w:szCs w:val="18"/>
                <w:color w:val="auto"/>
              </w:rPr>
              <w:t>Address of Principal Business Office or, if none, Residence:</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1245 Bridgestone Boulevard</w:t>
            </w:r>
          </w:p>
        </w:tc>
      </w:tr>
      <w:tr>
        <w:trPr>
          <w:trHeight w:val="234"/>
        </w:trPr>
        <w:tc>
          <w:tcPr>
            <w:tcW w:w="14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LaVergne, TN 37015</w:t>
            </w:r>
          </w:p>
        </w:tc>
      </w:tr>
      <w:tr>
        <w:trPr>
          <w:trHeight w:val="432"/>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(c)</w:t>
            </w:r>
          </w:p>
        </w:tc>
        <w:tc>
          <w:tcPr>
            <w:tcW w:w="5320" w:type="dxa"/>
            <w:vAlign w:val="bottom"/>
          </w:tcPr>
          <w:p>
            <w:pPr>
              <w:ind w:left="300"/>
              <w:spacing w:after="0"/>
              <w:rPr>
                <w:sz w:val="20"/>
                <w:szCs w:val="20"/>
                <w:color w:val="auto"/>
              </w:rPr>
            </w:pPr>
            <w:r>
              <w:rPr>
                <w:rFonts w:ascii="Arial" w:cs="Arial" w:eastAsia="Arial" w:hAnsi="Arial"/>
                <w:sz w:val="18"/>
                <w:szCs w:val="18"/>
                <w:color w:val="auto"/>
              </w:rPr>
              <w:t>Citizenship:</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Delaware</w:t>
            </w:r>
          </w:p>
        </w:tc>
      </w:tr>
      <w:tr>
        <w:trPr>
          <w:trHeight w:val="432"/>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(d)</w:t>
            </w:r>
          </w:p>
        </w:tc>
        <w:tc>
          <w:tcPr>
            <w:tcW w:w="5320" w:type="dxa"/>
            <w:vAlign w:val="bottom"/>
          </w:tcPr>
          <w:p>
            <w:pPr>
              <w:ind w:left="300"/>
              <w:spacing w:after="0"/>
              <w:rPr>
                <w:sz w:val="20"/>
                <w:szCs w:val="20"/>
                <w:color w:val="auto"/>
              </w:rPr>
            </w:pPr>
            <w:r>
              <w:rPr>
                <w:rFonts w:ascii="Arial" w:cs="Arial" w:eastAsia="Arial" w:hAnsi="Arial"/>
                <w:sz w:val="18"/>
                <w:szCs w:val="18"/>
                <w:color w:val="auto"/>
              </w:rPr>
              <w:t>Title of Class of Securities:</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Common stock</w:t>
            </w:r>
          </w:p>
        </w:tc>
      </w:tr>
      <w:tr>
        <w:trPr>
          <w:trHeight w:val="432"/>
        </w:trPr>
        <w:tc>
          <w:tcPr>
            <w:tcW w:w="1440" w:type="dxa"/>
            <w:vAlign w:val="bottom"/>
          </w:tcPr>
          <w:p>
            <w:pPr>
              <w:jc w:val="right"/>
              <w:ind w:right="190"/>
              <w:spacing w:after="0"/>
              <w:rPr>
                <w:sz w:val="20"/>
                <w:szCs w:val="20"/>
                <w:color w:val="auto"/>
              </w:rPr>
            </w:pPr>
            <w:r>
              <w:rPr>
                <w:rFonts w:ascii="Arial" w:cs="Arial" w:eastAsia="Arial" w:hAnsi="Arial"/>
                <w:sz w:val="18"/>
                <w:szCs w:val="18"/>
                <w:color w:val="auto"/>
              </w:rPr>
              <w:t>(e)</w:t>
            </w:r>
          </w:p>
        </w:tc>
        <w:tc>
          <w:tcPr>
            <w:tcW w:w="5320" w:type="dxa"/>
            <w:vAlign w:val="bottom"/>
          </w:tcPr>
          <w:p>
            <w:pPr>
              <w:ind w:left="300"/>
              <w:spacing w:after="0"/>
              <w:rPr>
                <w:sz w:val="20"/>
                <w:szCs w:val="20"/>
                <w:color w:val="auto"/>
              </w:rPr>
            </w:pPr>
            <w:r>
              <w:rPr>
                <w:rFonts w:ascii="Arial" w:cs="Arial" w:eastAsia="Arial" w:hAnsi="Arial"/>
                <w:sz w:val="18"/>
                <w:szCs w:val="18"/>
                <w:color w:val="auto"/>
              </w:rPr>
              <w:t>CUSIP Number:</w:t>
            </w:r>
          </w:p>
        </w:tc>
        <w:tc>
          <w:tcPr>
            <w:tcW w:w="3640" w:type="dxa"/>
            <w:vAlign w:val="bottom"/>
          </w:tcPr>
          <w:p>
            <w:pPr>
              <w:ind w:left="680"/>
              <w:spacing w:after="0"/>
              <w:rPr>
                <w:sz w:val="20"/>
                <w:szCs w:val="20"/>
                <w:color w:val="auto"/>
              </w:rPr>
            </w:pPr>
            <w:r>
              <w:rPr>
                <w:rFonts w:ascii="Arial" w:cs="Arial" w:eastAsia="Arial" w:hAnsi="Arial"/>
                <w:sz w:val="18"/>
                <w:szCs w:val="18"/>
                <w:b w:val="1"/>
                <w:bCs w:val="1"/>
                <w:color w:val="auto"/>
              </w:rPr>
              <w:t>00504W100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r>
        <w:rPr>
          <w:rFonts w:ascii="Arial" w:cs="Arial" w:eastAsia="Arial" w:hAnsi="Arial"/>
          <w:sz w:val="18"/>
          <w:szCs w:val="18"/>
          <w:color w:val="auto"/>
        </w:rPr>
        <w:t>:</w:t>
      </w:r>
    </w:p>
    <w:p>
      <w:pPr>
        <w:spacing w:after="0" w:line="22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NOT APPLICABLE</w:t>
      </w:r>
    </w:p>
    <w:p>
      <w:pPr>
        <w:sectPr>
          <w:pgSz w:w="11900" w:h="16838" w:orient="portrait"/>
          <w:cols w:equalWidth="0" w:num="1">
            <w:col w:w="10900"/>
          </w:cols>
          <w:pgMar w:left="240" w:top="931" w:right="759" w:bottom="1085" w:gutter="0" w:footer="0" w:header="0"/>
        </w:sectPr>
      </w:pPr>
    </w:p>
    <w:p>
      <w:pPr>
        <w:spacing w:after="0" w:line="22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w:t>
      </w:r>
    </w:p>
    <w:p>
      <w:pPr>
        <w:spacing w:after="0" w:line="24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Broker or dealer registered under section 15 of the Act (15 U.S.C. 78o).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3">
            <w:col w:w="1160" w:space="580"/>
            <w:col w:w="80" w:space="600"/>
            <w:col w:w="8480"/>
          </w:cols>
          <w:pgMar w:left="240" w:top="931" w:right="759" w:bottom="1085" w:gutter="0" w:footer="0" w:header="0"/>
          <w:type w:val="continuous"/>
        </w:sectPr>
      </w:pPr>
    </w:p>
    <w:p>
      <w:pPr>
        <w:spacing w:after="0" w:line="25" w:lineRule="exact"/>
        <w:rPr>
          <w:sz w:val="20"/>
          <w:szCs w:val="20"/>
          <w:color w:val="auto"/>
        </w:rPr>
      </w:pPr>
    </w:p>
    <w:p>
      <w:pPr>
        <w:ind w:left="1740" w:hanging="784"/>
        <w:spacing w:after="0"/>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740" w:hanging="794"/>
        <w:spacing w:after="0"/>
        <w:tabs>
          <w:tab w:leader="none" w:pos="1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25" w:lineRule="exact"/>
        <w:rPr>
          <w:sz w:val="20"/>
          <w:szCs w:val="20"/>
          <w:color w:val="auto"/>
        </w:rPr>
      </w:pPr>
    </w:p>
    <w:p>
      <w:pPr>
        <w:ind w:left="960"/>
        <w:spacing w:after="0"/>
        <w:tabs>
          <w:tab w:leader="none" w:pos="1720" w:val="left"/>
          <w:tab w:leader="none" w:pos="240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An investment adviser in accordance with §240.13d-1(b)(1)(ii)(E);</w:t>
      </w:r>
    </w:p>
    <w:p>
      <w:pPr>
        <w:spacing w:after="0" w:line="225" w:lineRule="exact"/>
        <w:rPr>
          <w:sz w:val="20"/>
          <w:szCs w:val="20"/>
          <w:color w:val="auto"/>
        </w:rPr>
      </w:pPr>
    </w:p>
    <w:p>
      <w:pPr>
        <w:ind w:left="1740" w:hanging="764"/>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740" w:hanging="794"/>
        <w:spacing w:after="0"/>
        <w:tabs>
          <w:tab w:leader="none" w:pos="1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§240.13d-1(b)(1)(ii)(G);</w:t>
      </w:r>
    </w:p>
    <w:p>
      <w:pPr>
        <w:spacing w:after="0" w:line="225" w:lineRule="exact"/>
        <w:rPr>
          <w:sz w:val="20"/>
          <w:szCs w:val="20"/>
          <w:color w:val="auto"/>
        </w:rPr>
      </w:pPr>
    </w:p>
    <w:p>
      <w:pPr>
        <w:ind w:left="940"/>
        <w:spacing w:after="0"/>
        <w:tabs>
          <w:tab w:leader="none" w:pos="1720" w:val="left"/>
          <w:tab w:leader="none" w:pos="240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A savings associations as defined in Section 3(b) of the Federal Deposit Insurance Act (12 U.S.C. 1813);</w:t>
      </w:r>
    </w:p>
    <w:p>
      <w:pPr>
        <w:spacing w:after="0" w:line="225" w:lineRule="exact"/>
        <w:rPr>
          <w:sz w:val="20"/>
          <w:szCs w:val="20"/>
          <w:color w:val="auto"/>
        </w:rPr>
      </w:pPr>
    </w:p>
    <w:p>
      <w:pPr>
        <w:ind w:left="2420" w:hanging="1434"/>
        <w:spacing w:after="0" w:line="277" w:lineRule="auto"/>
        <w:tabs>
          <w:tab w:leader="none" w:pos="1745" w:val="left"/>
        </w:tabs>
        <w:numPr>
          <w:ilvl w:val="0"/>
          <w:numId w:val="5"/>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70" w:lineRule="exact"/>
        <w:rPr>
          <w:sz w:val="20"/>
          <w:szCs w:val="20"/>
          <w:color w:val="auto"/>
        </w:rPr>
      </w:pPr>
    </w:p>
    <w:p>
      <w:pPr>
        <w:ind w:left="980"/>
        <w:spacing w:after="0"/>
        <w:tabs>
          <w:tab w:leader="none" w:pos="1720" w:val="left"/>
          <w:tab w:leader="none" w:pos="240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o</w:t>
      </w:r>
      <w:r>
        <w:rPr>
          <w:sz w:val="20"/>
          <w:szCs w:val="20"/>
          <w:color w:val="auto"/>
        </w:rPr>
        <w:tab/>
      </w:r>
      <w:r>
        <w:rPr>
          <w:rFonts w:ascii="Arial" w:cs="Arial" w:eastAsia="Arial" w:hAnsi="Arial"/>
          <w:sz w:val="16"/>
          <w:szCs w:val="16"/>
          <w:color w:val="auto"/>
        </w:rPr>
        <w:t>Group, in accordance with §240.13d-1(b)(1)(ii)(J).</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3"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(a)</w:t>
            </w:r>
          </w:p>
        </w:tc>
        <w:tc>
          <w:tcPr>
            <w:tcW w:w="6420" w:type="dxa"/>
            <w:vAlign w:val="bottom"/>
          </w:tcPr>
          <w:p>
            <w:pPr>
              <w:ind w:left="260"/>
              <w:spacing w:after="0"/>
              <w:rPr>
                <w:sz w:val="20"/>
                <w:szCs w:val="20"/>
                <w:color w:val="auto"/>
              </w:rPr>
            </w:pPr>
            <w:r>
              <w:rPr>
                <w:rFonts w:ascii="Arial" w:cs="Arial" w:eastAsia="Arial" w:hAnsi="Arial"/>
                <w:sz w:val="18"/>
                <w:szCs w:val="18"/>
                <w:color w:val="auto"/>
              </w:rPr>
              <w:t>Amount beneficially owned:</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-0-</w:t>
            </w:r>
          </w:p>
        </w:tc>
      </w:tr>
      <w:tr>
        <w:trPr>
          <w:trHeight w:val="432"/>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(b)</w:t>
            </w:r>
          </w:p>
        </w:tc>
        <w:tc>
          <w:tcPr>
            <w:tcW w:w="6420" w:type="dxa"/>
            <w:vAlign w:val="bottom"/>
          </w:tcPr>
          <w:p>
            <w:pPr>
              <w:ind w:left="260"/>
              <w:spacing w:after="0"/>
              <w:rPr>
                <w:sz w:val="20"/>
                <w:szCs w:val="20"/>
                <w:color w:val="auto"/>
              </w:rPr>
            </w:pPr>
            <w:r>
              <w:rPr>
                <w:rFonts w:ascii="Arial" w:cs="Arial" w:eastAsia="Arial" w:hAnsi="Arial"/>
                <w:sz w:val="18"/>
                <w:szCs w:val="18"/>
                <w:color w:val="auto"/>
              </w:rPr>
              <w:t>Percent of class:</w:t>
            </w:r>
          </w:p>
        </w:tc>
        <w:tc>
          <w:tcPr>
            <w:tcW w:w="2420" w:type="dxa"/>
            <w:vAlign w:val="bottom"/>
          </w:tcPr>
          <w:p>
            <w:pPr>
              <w:jc w:val="right"/>
              <w:spacing w:after="0"/>
              <w:rPr>
                <w:sz w:val="20"/>
                <w:szCs w:val="20"/>
                <w:color w:val="auto"/>
              </w:rPr>
            </w:pPr>
            <w:r>
              <w:rPr>
                <w:rFonts w:ascii="Arial" w:cs="Arial" w:eastAsia="Arial" w:hAnsi="Arial"/>
                <w:sz w:val="18"/>
                <w:szCs w:val="18"/>
                <w:b w:val="1"/>
                <w:bCs w:val="1"/>
                <w:color w:val="auto"/>
              </w:rPr>
              <w:t>0.00%</w:t>
            </w:r>
          </w:p>
        </w:tc>
      </w:tr>
      <w:tr>
        <w:trPr>
          <w:trHeight w:val="432"/>
        </w:trPr>
        <w:tc>
          <w:tcPr>
            <w:tcW w:w="500" w:type="dxa"/>
            <w:vAlign w:val="bottom"/>
          </w:tcPr>
          <w:p>
            <w:pPr>
              <w:jc w:val="right"/>
              <w:ind w:right="190"/>
              <w:spacing w:after="0"/>
              <w:rPr>
                <w:sz w:val="20"/>
                <w:szCs w:val="20"/>
                <w:color w:val="auto"/>
              </w:rPr>
            </w:pPr>
            <w:r>
              <w:rPr>
                <w:rFonts w:ascii="Arial" w:cs="Arial" w:eastAsia="Arial" w:hAnsi="Arial"/>
                <w:sz w:val="18"/>
                <w:szCs w:val="18"/>
                <w:color w:val="auto"/>
                <w:w w:val="95"/>
              </w:rPr>
              <w:t>(c)</w:t>
            </w:r>
          </w:p>
        </w:tc>
        <w:tc>
          <w:tcPr>
            <w:tcW w:w="6420" w:type="dxa"/>
            <w:vAlign w:val="bottom"/>
          </w:tcPr>
          <w:p>
            <w:pPr>
              <w:ind w:left="260"/>
              <w:spacing w:after="0"/>
              <w:rPr>
                <w:sz w:val="20"/>
                <w:szCs w:val="20"/>
                <w:color w:val="auto"/>
              </w:rPr>
            </w:pPr>
            <w:r>
              <w:rPr>
                <w:rFonts w:ascii="Arial" w:cs="Arial" w:eastAsia="Arial" w:hAnsi="Arial"/>
                <w:sz w:val="18"/>
                <w:szCs w:val="18"/>
                <w:color w:val="auto"/>
              </w:rPr>
              <w:t>Number of shares as to which the person has:</w:t>
            </w:r>
          </w:p>
        </w:tc>
        <w:tc>
          <w:tcPr>
            <w:tcW w:w="2420" w:type="dxa"/>
            <w:vAlign w:val="bottom"/>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6420" w:type="dxa"/>
            <w:vAlign w:val="bottom"/>
          </w:tcPr>
          <w:p>
            <w:pPr>
              <w:ind w:left="260"/>
              <w:spacing w:after="0"/>
              <w:rPr>
                <w:sz w:val="20"/>
                <w:szCs w:val="20"/>
                <w:color w:val="auto"/>
              </w:rPr>
            </w:pPr>
            <w:r>
              <w:rPr>
                <w:rFonts w:ascii="Arial" w:cs="Arial" w:eastAsia="Arial" w:hAnsi="Arial"/>
                <w:sz w:val="18"/>
                <w:szCs w:val="18"/>
                <w:color w:val="auto"/>
              </w:rPr>
              <w:t>(i) Sole power to vote or to direct the vote</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-0-</w:t>
            </w:r>
          </w:p>
        </w:tc>
      </w:tr>
      <w:tr>
        <w:trPr>
          <w:trHeight w:val="432"/>
        </w:trPr>
        <w:tc>
          <w:tcPr>
            <w:tcW w:w="500" w:type="dxa"/>
            <w:vAlign w:val="bottom"/>
          </w:tcPr>
          <w:p>
            <w:pPr>
              <w:spacing w:after="0"/>
              <w:rPr>
                <w:sz w:val="24"/>
                <w:szCs w:val="24"/>
                <w:color w:val="auto"/>
              </w:rPr>
            </w:pPr>
          </w:p>
        </w:tc>
        <w:tc>
          <w:tcPr>
            <w:tcW w:w="6420" w:type="dxa"/>
            <w:vAlign w:val="bottom"/>
          </w:tcPr>
          <w:p>
            <w:pPr>
              <w:ind w:left="260"/>
              <w:spacing w:after="0"/>
              <w:rPr>
                <w:sz w:val="20"/>
                <w:szCs w:val="20"/>
                <w:color w:val="auto"/>
              </w:rPr>
            </w:pPr>
            <w:r>
              <w:rPr>
                <w:rFonts w:ascii="Arial" w:cs="Arial" w:eastAsia="Arial" w:hAnsi="Arial"/>
                <w:sz w:val="18"/>
                <w:szCs w:val="18"/>
                <w:color w:val="auto"/>
              </w:rPr>
              <w:t>(ii) Shared power to vote or to direct the vote</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N/A</w:t>
            </w:r>
          </w:p>
        </w:tc>
      </w:tr>
      <w:tr>
        <w:trPr>
          <w:trHeight w:val="432"/>
        </w:trPr>
        <w:tc>
          <w:tcPr>
            <w:tcW w:w="500" w:type="dxa"/>
            <w:vAlign w:val="bottom"/>
          </w:tcPr>
          <w:p>
            <w:pPr>
              <w:spacing w:after="0"/>
              <w:rPr>
                <w:sz w:val="24"/>
                <w:szCs w:val="24"/>
                <w:color w:val="auto"/>
              </w:rPr>
            </w:pPr>
          </w:p>
        </w:tc>
        <w:tc>
          <w:tcPr>
            <w:tcW w:w="6420" w:type="dxa"/>
            <w:vAlign w:val="bottom"/>
          </w:tcPr>
          <w:p>
            <w:pPr>
              <w:ind w:left="260"/>
              <w:spacing w:after="0"/>
              <w:rPr>
                <w:sz w:val="20"/>
                <w:szCs w:val="20"/>
                <w:color w:val="auto"/>
              </w:rPr>
            </w:pPr>
            <w:r>
              <w:rPr>
                <w:rFonts w:ascii="Arial" w:cs="Arial" w:eastAsia="Arial" w:hAnsi="Arial"/>
                <w:sz w:val="18"/>
                <w:szCs w:val="18"/>
                <w:color w:val="auto"/>
              </w:rPr>
              <w:t>(iii) Sole power to dispose or to direct the disposition of</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-0-</w:t>
            </w:r>
          </w:p>
        </w:tc>
      </w:tr>
      <w:tr>
        <w:trPr>
          <w:trHeight w:val="432"/>
        </w:trPr>
        <w:tc>
          <w:tcPr>
            <w:tcW w:w="500" w:type="dxa"/>
            <w:vAlign w:val="bottom"/>
          </w:tcPr>
          <w:p>
            <w:pPr>
              <w:spacing w:after="0"/>
              <w:rPr>
                <w:sz w:val="24"/>
                <w:szCs w:val="24"/>
                <w:color w:val="auto"/>
              </w:rPr>
            </w:pPr>
          </w:p>
        </w:tc>
        <w:tc>
          <w:tcPr>
            <w:tcW w:w="6420" w:type="dxa"/>
            <w:vAlign w:val="bottom"/>
          </w:tcPr>
          <w:p>
            <w:pPr>
              <w:ind w:left="260"/>
              <w:spacing w:after="0"/>
              <w:rPr>
                <w:sz w:val="20"/>
                <w:szCs w:val="20"/>
                <w:color w:val="auto"/>
              </w:rPr>
            </w:pPr>
            <w:r>
              <w:rPr>
                <w:rFonts w:ascii="Arial" w:cs="Arial" w:eastAsia="Arial" w:hAnsi="Arial"/>
                <w:sz w:val="18"/>
                <w:szCs w:val="18"/>
                <w:color w:val="auto"/>
              </w:rPr>
              <w:t>(iv) Shared power to dispose or to direct the disposition of</w:t>
            </w:r>
          </w:p>
        </w:tc>
        <w:tc>
          <w:tcPr>
            <w:tcW w:w="2420" w:type="dxa"/>
            <w:vAlign w:val="bottom"/>
          </w:tcPr>
          <w:p>
            <w:pPr>
              <w:jc w:val="right"/>
              <w:ind w:right="90"/>
              <w:spacing w:after="0"/>
              <w:rPr>
                <w:sz w:val="20"/>
                <w:szCs w:val="20"/>
                <w:color w:val="auto"/>
              </w:rPr>
            </w:pPr>
            <w:r>
              <w:rPr>
                <w:rFonts w:ascii="Arial" w:cs="Arial" w:eastAsia="Arial" w:hAnsi="Arial"/>
                <w:sz w:val="18"/>
                <w:szCs w:val="18"/>
                <w:b w:val="1"/>
                <w:bCs w:val="1"/>
                <w:color w:val="auto"/>
              </w:rPr>
              <w:t>N/A</w:t>
            </w:r>
          </w:p>
        </w:tc>
      </w:tr>
    </w:tbl>
    <w:p>
      <w:pPr>
        <w:spacing w:after="0" w:line="94" w:lineRule="exact"/>
        <w:rPr>
          <w:sz w:val="20"/>
          <w:szCs w:val="20"/>
          <w:color w:val="auto"/>
        </w:rPr>
      </w:pPr>
    </w:p>
    <w:p>
      <w:pPr>
        <w:ind w:left="5080" w:right="1560" w:hanging="5070"/>
        <w:spacing w:after="0" w:line="496" w:lineRule="auto"/>
        <w:rPr>
          <w:sz w:val="20"/>
          <w:szCs w:val="20"/>
          <w:color w:val="auto"/>
        </w:rPr>
      </w:pPr>
      <w:r>
        <w:rPr>
          <w:rFonts w:ascii="Arial" w:cs="Arial" w:eastAsia="Arial" w:hAnsi="Arial"/>
          <w:sz w:val="18"/>
          <w:szCs w:val="18"/>
          <w:i w:val="1"/>
          <w:iCs w:val="1"/>
          <w:color w:val="auto"/>
        </w:rPr>
        <w:t>Instruction</w:t>
      </w:r>
      <w:r>
        <w:rPr>
          <w:rFonts w:ascii="Arial" w:cs="Arial" w:eastAsia="Arial" w:hAnsi="Arial"/>
          <w:sz w:val="18"/>
          <w:szCs w:val="18"/>
          <w:color w:val="auto"/>
        </w:rPr>
        <w:t>. For computations regarding securities which represent a right to acquire an underlying security</w:t>
      </w:r>
      <w:r>
        <w:rPr>
          <w:rFonts w:ascii="Arial" w:cs="Arial" w:eastAsia="Arial" w:hAnsi="Arial"/>
          <w:sz w:val="18"/>
          <w:szCs w:val="18"/>
          <w:i w:val="1"/>
          <w:iCs w:val="1"/>
          <w:color w:val="auto"/>
        </w:rPr>
        <w:t xml:space="preserve"> see </w:t>
      </w:r>
      <w:r>
        <w:rPr>
          <w:rFonts w:ascii="Arial" w:cs="Arial" w:eastAsia="Arial" w:hAnsi="Arial"/>
          <w:sz w:val="18"/>
          <w:szCs w:val="18"/>
          <w:color w:val="auto"/>
        </w:rPr>
        <w:t>§240.13d-3(d)(1).</w:t>
      </w:r>
      <w:r>
        <w:rPr>
          <w:rFonts w:ascii="Arial" w:cs="Arial" w:eastAsia="Arial" w:hAnsi="Arial"/>
          <w:sz w:val="18"/>
          <w:szCs w:val="18"/>
          <w:i w:val="1"/>
          <w:iCs w:val="1"/>
          <w:color w:val="auto"/>
        </w:rPr>
        <w:t xml:space="preserve"> </w:t>
      </w:r>
      <w:r>
        <w:rPr>
          <w:rFonts w:ascii="Arial" w:cs="Arial" w:eastAsia="Arial" w:hAnsi="Arial"/>
          <w:sz w:val="18"/>
          <w:szCs w:val="18"/>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931" w:right="759" w:bottom="1085"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This statement is being filed to report the fact that as of the date hereof the reporting person has ceased to be the beneficial owner of more than five percent of the class of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r>
        <w:rPr>
          <w:rFonts w:ascii="Arial" w:cs="Arial" w:eastAsia="Arial" w:hAnsi="Arial"/>
          <w:sz w:val="18"/>
          <w:szCs w:val="18"/>
          <w:color w:val="auto"/>
        </w:rPr>
        <w:t>.</w:t>
      </w:r>
    </w:p>
    <w:p>
      <w:pPr>
        <w:spacing w:after="0" w:line="121" w:lineRule="exact"/>
        <w:rPr>
          <w:sz w:val="20"/>
          <w:szCs w:val="20"/>
          <w:color w:val="auto"/>
        </w:rPr>
      </w:pPr>
    </w:p>
    <w:p>
      <w:pPr>
        <w:ind w:right="14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3"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13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ind w:left="9560"/>
        <w:spacing w:after="0"/>
        <w:rPr>
          <w:sz w:val="20"/>
          <w:szCs w:val="20"/>
          <w:color w:val="auto"/>
        </w:rPr>
      </w:pPr>
      <w:r>
        <w:rPr>
          <w:rFonts w:ascii="Arial" w:cs="Arial" w:eastAsia="Arial" w:hAnsi="Arial"/>
          <w:sz w:val="18"/>
          <w:szCs w:val="18"/>
          <w:b w:val="1"/>
          <w:bCs w:val="1"/>
          <w:color w:val="auto"/>
        </w:rPr>
        <w:t>EXHIBIT ATTACHED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121"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7"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21"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6" w:lineRule="exact"/>
        <w:rPr>
          <w:sz w:val="20"/>
          <w:szCs w:val="20"/>
          <w:color w:val="auto"/>
        </w:rPr>
      </w:pPr>
    </w:p>
    <w:p>
      <w:pPr>
        <w:ind w:left="9780"/>
        <w:spacing w:after="0"/>
        <w:rPr>
          <w:sz w:val="20"/>
          <w:szCs w:val="20"/>
          <w:color w:val="auto"/>
        </w:rPr>
      </w:pPr>
      <w:r>
        <w:rPr>
          <w:rFonts w:ascii="Arial" w:cs="Arial" w:eastAsia="Arial" w:hAnsi="Arial"/>
          <w:sz w:val="18"/>
          <w:szCs w:val="18"/>
          <w:b w:val="1"/>
          <w:bCs w:val="1"/>
          <w:color w:val="auto"/>
        </w:rPr>
        <w:t>NOT APPLICABLE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jc w:val="both"/>
        <w:ind w:left="104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February 13, 2006</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37649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764915" cy="8890"/>
                    </a:xfrm>
                    <a:prstGeom prst="rect">
                      <a:avLst/>
                    </a:prstGeom>
                    <a:noFill/>
                  </pic:spPr>
                </pic:pic>
              </a:graphicData>
            </a:graphic>
          </wp:anchor>
        </w:drawing>
      </w:r>
    </w:p>
    <w:p>
      <w:pPr>
        <w:spacing w:after="0" w:line="20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North American Equity Investors,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Thompson Machinery Commerce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DeWitt C. Thompson, IV</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DeWitt C. Thompson,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7" w:name="page8"/>
    <w:bookmarkEnd w:id="7"/>
    <w:p>
      <w:pPr>
        <w:ind w:left="5320"/>
        <w:spacing w:after="0"/>
        <w:rPr>
          <w:sz w:val="20"/>
          <w:szCs w:val="20"/>
          <w:color w:val="auto"/>
        </w:rPr>
      </w:pPr>
      <w:r>
        <w:rPr>
          <w:rFonts w:ascii="Arial" w:cs="Arial" w:eastAsia="Arial" w:hAnsi="Arial"/>
          <w:sz w:val="18"/>
          <w:szCs w:val="18"/>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North American Equity Investors, Inc., the relevant subsidiary, is a direct, wholly-owned subsidiary of Thompson Machinery Commerce Corporation.</w:t>
      </w:r>
    </w:p>
    <w:p>
      <w:pPr>
        <w:spacing w:after="0" w:line="22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Page 7 of 7 pages</w:t>
      </w:r>
    </w:p>
    <w:sectPr>
      <w:pgSz w:w="11900" w:h="16838" w:orient="portrait"/>
      <w:cols w:equalWidth="0" w:num="1">
        <w:col w:w="10820"/>
      </w:cols>
      <w:pgMar w:left="240" w:top="958"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Letter"/>
      <w:start w:val="3"/>
    </w:lvl>
  </w:abstractNum>
  <w:abstractNum w:abstractNumId="3">
    <w:nsid w:val="238E1F29"/>
    <w:multiLevelType w:val="hybridMultilevel"/>
    <w:lvl w:ilvl="0">
      <w:lvlJc w:val="left"/>
      <w:lvlText w:val="(%1)"/>
      <w:numFmt w:val="lowerLetter"/>
      <w:start w:val="6"/>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2019-12-14T18:17:32Z</dcterms:created>
  <dcterms:modified xsi:type="dcterms:W3CDTF">2019-12-14T18:17:32Z</dcterms:modified>
</cp:coreProperties>
</file>