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26035"/>
                    </a:xfrm>
                    <a:prstGeom prst="rect">
                      <a:avLst/>
                    </a:prstGeom>
                    <a:noFill/>
                  </pic:spPr>
                </pic:pic>
              </a:graphicData>
            </a:graphic>
          </wp:anchor>
        </w:drawing>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5" w:lineRule="exact"/>
        <w:rPr>
          <w:sz w:val="24"/>
          <w:szCs w:val="24"/>
          <w:color w:val="auto"/>
        </w:rPr>
      </w:pPr>
    </w:p>
    <w:p>
      <w:pPr>
        <w:ind w:left="3660" w:right="1620" w:hanging="3639"/>
        <w:spacing w:after="0" w:line="306" w:lineRule="auto"/>
        <w:tabs>
          <w:tab w:leader="none" w:pos="48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168"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47"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For the transition period from ____________________ to ____________________</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001-40937</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tbl>
      <w:tblPr>
        <w:tblLayout w:type="fixed"/>
        <w:tblInd w:w="1780" w:type="dxa"/>
        <w:tblCellMar>
          <w:top w:w="0" w:type="dxa"/>
          <w:left w:w="0" w:type="dxa"/>
          <w:bottom w:w="0" w:type="dxa"/>
          <w:right w:w="0" w:type="dxa"/>
        </w:tblCellMar>
      </w:tblPr>
      <w:tr>
        <w:trPr>
          <w:trHeight w:val="234"/>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87-2908160</w:t>
            </w:r>
          </w:p>
        </w:tc>
      </w:tr>
      <w:tr>
        <w:trPr>
          <w:trHeight w:val="171"/>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7"/>
              </w:rPr>
              <w:t>( State or other jurisdiction of</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(I.R.S. Employer</w:t>
            </w:r>
          </w:p>
        </w:tc>
      </w:tr>
      <w:tr>
        <w:trPr>
          <w:trHeight w:val="164"/>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8"/>
              </w:rPr>
              <w:t>incorporation or organization)</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89"/>
              </w:rPr>
              <w:t>Identification No.)</w:t>
            </w:r>
          </w:p>
        </w:tc>
      </w:tr>
      <w:tr>
        <w:trPr>
          <w:trHeight w:val="241"/>
        </w:trPr>
        <w:tc>
          <w:tcPr>
            <w:tcW w:w="4120" w:type="dxa"/>
            <w:vAlign w:val="bottom"/>
          </w:tcPr>
          <w:p>
            <w:pPr>
              <w:jc w:val="center"/>
              <w:ind w:right="1964"/>
              <w:spacing w:after="0"/>
              <w:rPr>
                <w:sz w:val="20"/>
                <w:szCs w:val="20"/>
                <w:color w:val="auto"/>
              </w:rPr>
            </w:pPr>
            <w:r>
              <w:rPr>
                <w:rFonts w:ascii="Arial" w:cs="Arial" w:eastAsia="Arial" w:hAnsi="Arial"/>
                <w:sz w:val="18"/>
                <w:szCs w:val="18"/>
                <w:b w:val="1"/>
                <w:bCs w:val="1"/>
                <w:color w:val="auto"/>
                <w:w w:val="88"/>
              </w:rPr>
              <w:t>4514 Cole Ave, Suite 1600</w:t>
            </w:r>
          </w:p>
        </w:tc>
        <w:tc>
          <w:tcPr>
            <w:tcW w:w="3020" w:type="dxa"/>
            <w:vAlign w:val="bottom"/>
          </w:tcPr>
          <w:p>
            <w:pPr>
              <w:jc w:val="right"/>
              <w:ind w:right="186"/>
              <w:spacing w:after="0"/>
              <w:rPr>
                <w:sz w:val="20"/>
                <w:szCs w:val="20"/>
                <w:color w:val="auto"/>
              </w:rPr>
            </w:pPr>
            <w:r>
              <w:rPr>
                <w:rFonts w:ascii="Arial" w:cs="Arial" w:eastAsia="Arial" w:hAnsi="Arial"/>
                <w:sz w:val="18"/>
                <w:szCs w:val="18"/>
                <w:b w:val="1"/>
                <w:bCs w:val="1"/>
                <w:color w:val="auto"/>
              </w:rPr>
              <w:t>75205</w:t>
            </w:r>
          </w:p>
        </w:tc>
      </w:tr>
      <w:tr>
        <w:trPr>
          <w:trHeight w:val="234"/>
        </w:trPr>
        <w:tc>
          <w:tcPr>
            <w:tcW w:w="4120" w:type="dxa"/>
            <w:vAlign w:val="bottom"/>
          </w:tcPr>
          <w:p>
            <w:pPr>
              <w:jc w:val="center"/>
              <w:ind w:right="1984"/>
              <w:spacing w:after="0"/>
              <w:rPr>
                <w:sz w:val="20"/>
                <w:szCs w:val="20"/>
                <w:color w:val="auto"/>
              </w:rPr>
            </w:pPr>
            <w:r>
              <w:rPr>
                <w:rFonts w:ascii="Arial" w:cs="Arial" w:eastAsia="Arial" w:hAnsi="Arial"/>
                <w:sz w:val="18"/>
                <w:szCs w:val="18"/>
                <w:b w:val="1"/>
                <w:bCs w:val="1"/>
                <w:color w:val="auto"/>
                <w:w w:val="95"/>
              </w:rPr>
              <w:t>Dallas, TX</w:t>
            </w:r>
          </w:p>
        </w:tc>
        <w:tc>
          <w:tcPr>
            <w:tcW w:w="3020" w:type="dxa"/>
            <w:vAlign w:val="bottom"/>
          </w:tcPr>
          <w:p>
            <w:pPr>
              <w:spacing w:after="0"/>
              <w:rPr>
                <w:sz w:val="20"/>
                <w:szCs w:val="20"/>
                <w:color w:val="auto"/>
              </w:rPr>
            </w:pPr>
          </w:p>
        </w:tc>
      </w:tr>
      <w:tr>
        <w:trPr>
          <w:trHeight w:val="173"/>
        </w:trPr>
        <w:tc>
          <w:tcPr>
            <w:tcW w:w="4120" w:type="dxa"/>
            <w:vAlign w:val="bottom"/>
          </w:tcPr>
          <w:p>
            <w:pPr>
              <w:jc w:val="center"/>
              <w:ind w:right="196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3020" w:type="dxa"/>
            <w:vAlign w:val="bottom"/>
          </w:tcPr>
          <w:p>
            <w:pPr>
              <w:jc w:val="center"/>
              <w:ind w:left="1966"/>
              <w:spacing w:after="0"/>
              <w:rPr>
                <w:sz w:val="20"/>
                <w:szCs w:val="20"/>
                <w:color w:val="auto"/>
              </w:rPr>
            </w:pPr>
            <w:r>
              <w:rPr>
                <w:rFonts w:ascii="Arial" w:cs="Arial" w:eastAsia="Arial" w:hAnsi="Arial"/>
                <w:sz w:val="13"/>
                <w:szCs w:val="13"/>
                <w:b w:val="1"/>
                <w:bCs w:val="1"/>
                <w:color w:val="auto"/>
                <w:w w:val="90"/>
              </w:rPr>
              <w:t>(Zip Code)</w:t>
            </w:r>
          </w:p>
        </w:tc>
      </w:tr>
    </w:tbl>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(214) 865-7998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49"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ind w:left="160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5"/>
                <w:szCs w:val="15"/>
                <w:color w:val="auto"/>
              </w:rPr>
            </w:pPr>
          </w:p>
        </w:tc>
        <w:tc>
          <w:tcPr>
            <w:tcW w:w="50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92"/>
        </w:trPr>
        <w:tc>
          <w:tcPr>
            <w:tcW w:w="4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spacing w:after="0"/>
              <w:rPr>
                <w:sz w:val="16"/>
                <w:szCs w:val="16"/>
                <w:color w:val="auto"/>
              </w:rPr>
            </w:pPr>
          </w:p>
        </w:tc>
      </w:tr>
      <w:tr>
        <w:trPr>
          <w:trHeight w:val="192"/>
        </w:trPr>
        <w:tc>
          <w:tcPr>
            <w:tcW w:w="4280" w:type="dxa"/>
            <w:vAlign w:val="bottom"/>
          </w:tcPr>
          <w:p>
            <w:pPr>
              <w:ind w:left="60"/>
              <w:spacing w:after="0"/>
              <w:rPr>
                <w:sz w:val="20"/>
                <w:szCs w:val="20"/>
                <w:color w:val="auto"/>
              </w:rPr>
            </w:pPr>
            <w:r>
              <w:rPr>
                <w:rFonts w:ascii="Arial" w:cs="Arial" w:eastAsia="Arial" w:hAnsi="Arial"/>
                <w:sz w:val="16"/>
                <w:szCs w:val="16"/>
                <w:color w:val="auto"/>
              </w:rPr>
              <w:t>Class A Common Stock, $0.001 par value per share</w:t>
            </w:r>
          </w:p>
        </w:tc>
        <w:tc>
          <w:tcPr>
            <w:tcW w:w="12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w w:val="93"/>
              </w:rPr>
              <w:t>PX</w:t>
            </w:r>
          </w:p>
        </w:tc>
        <w:tc>
          <w:tcPr>
            <w:tcW w:w="120" w:type="dxa"/>
            <w:vAlign w:val="bottom"/>
          </w:tcPr>
          <w:p>
            <w:pPr>
              <w:spacing w:after="0"/>
              <w:rPr>
                <w:sz w:val="16"/>
                <w:szCs w:val="16"/>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w w:val="96"/>
              </w:rPr>
              <w:t>NYSE</w:t>
            </w:r>
          </w:p>
        </w:tc>
      </w:tr>
      <w:tr>
        <w:trPr>
          <w:trHeight w:val="203"/>
        </w:trPr>
        <w:tc>
          <w:tcPr>
            <w:tcW w:w="4280" w:type="dxa"/>
            <w:vAlign w:val="bottom"/>
          </w:tcPr>
          <w:p>
            <w:pPr>
              <w:ind w:left="60"/>
              <w:spacing w:after="0"/>
              <w:rPr>
                <w:sz w:val="20"/>
                <w:szCs w:val="20"/>
                <w:color w:val="auto"/>
              </w:rPr>
            </w:pPr>
            <w:r>
              <w:rPr>
                <w:rFonts w:ascii="Arial" w:cs="Arial" w:eastAsia="Arial" w:hAnsi="Arial"/>
                <w:sz w:val="16"/>
                <w:szCs w:val="16"/>
                <w:color w:val="auto"/>
              </w:rPr>
              <w:t>Series A Junior Participating Preferred Stock</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Pr>
          <w:p>
            <w:pPr>
              <w:spacing w:after="0"/>
              <w:rPr>
                <w:sz w:val="17"/>
                <w:szCs w:val="17"/>
                <w:color w:val="auto"/>
              </w:rPr>
            </w:pPr>
          </w:p>
        </w:tc>
      </w:tr>
      <w:tr>
        <w:trPr>
          <w:trHeight w:val="206"/>
        </w:trPr>
        <w:tc>
          <w:tcPr>
            <w:tcW w:w="4280" w:type="dxa"/>
            <w:vAlign w:val="bottom"/>
          </w:tcPr>
          <w:p>
            <w:pPr>
              <w:ind w:left="180"/>
              <w:spacing w:after="0"/>
              <w:rPr>
                <w:sz w:val="20"/>
                <w:szCs w:val="20"/>
                <w:color w:val="auto"/>
              </w:rPr>
            </w:pPr>
            <w:r>
              <w:rPr>
                <w:rFonts w:ascii="Arial" w:cs="Arial" w:eastAsia="Arial" w:hAnsi="Arial"/>
                <w:sz w:val="16"/>
                <w:szCs w:val="16"/>
                <w:color w:val="auto"/>
              </w:rPr>
              <w:t>Purchase Rights</w:t>
            </w: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40" w:type="dxa"/>
            <w:vAlign w:val="bottom"/>
          </w:tcPr>
          <w:p>
            <w:pPr>
              <w:spacing w:after="0"/>
              <w:rPr>
                <w:sz w:val="17"/>
                <w:szCs w:val="17"/>
                <w:color w:val="auto"/>
              </w:rPr>
            </w:pPr>
          </w:p>
        </w:tc>
      </w:tr>
    </w:tbl>
    <w:p>
      <w:pPr>
        <w:spacing w:after="0" w:line="239"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has submitted electronically every Interactive Data File required to be submitted pursuant to Rule 405 of Regulation S-T</w:t>
      </w:r>
    </w:p>
    <w:p>
      <w:pPr>
        <w:spacing w:after="0" w:line="20" w:lineRule="exact"/>
        <w:rPr>
          <w:sz w:val="24"/>
          <w:szCs w:val="24"/>
          <w:color w:val="auto"/>
        </w:rPr>
      </w:pPr>
    </w:p>
    <w:p>
      <w:pPr>
        <w:spacing w:after="0" w:line="184" w:lineRule="exact"/>
        <w:tabs>
          <w:tab w:leader="none" w:pos="9160" w:val="left"/>
          <w:tab w:leader="none" w:pos="9800" w:val="left"/>
        </w:tabs>
        <w:rPr>
          <w:sz w:val="20"/>
          <w:szCs w:val="20"/>
          <w:color w:val="auto"/>
        </w:rPr>
      </w:pPr>
      <w:r>
        <w:rPr>
          <w:rFonts w:ascii="Arial" w:cs="Arial" w:eastAsia="Arial" w:hAnsi="Arial"/>
          <w:sz w:val="15"/>
          <w:szCs w:val="15"/>
          <w:color w:val="auto"/>
        </w:rPr>
        <w:t>(§232.405 of this chapter) during the preceding 12 months (or for such shorter period that the registrant was required to submit such files).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9"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smaller reporting company, or an emerging growth</w:t>
      </w:r>
    </w:p>
    <w:p>
      <w:pPr>
        <w:spacing w:after="0" w:line="20" w:lineRule="exact"/>
        <w:rPr>
          <w:sz w:val="24"/>
          <w:szCs w:val="24"/>
          <w:color w:val="auto"/>
        </w:rPr>
      </w:pPr>
    </w:p>
    <w:p>
      <w:pPr>
        <w:spacing w:after="0"/>
        <w:rPr>
          <w:sz w:val="20"/>
          <w:szCs w:val="20"/>
          <w:color w:val="auto"/>
        </w:rPr>
      </w:pPr>
      <w:r>
        <w:rPr>
          <w:rFonts w:ascii="Arial" w:cs="Arial" w:eastAsia="Arial" w:hAnsi="Arial"/>
          <w:sz w:val="15"/>
          <w:szCs w:val="15"/>
          <w:color w:val="auto"/>
        </w:rPr>
        <w:t>company. See the definitions of “large accelerated filer,” “accelerated filer,” “smaller reporting company,” and “emerging growth company” in Rule 12b-2 of the Exchange</w:t>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color w:val="auto"/>
        </w:rPr>
        <w:t>Act.</w:t>
      </w:r>
    </w:p>
    <w:p>
      <w:pPr>
        <w:spacing w:after="0" w:line="214"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86"/>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ind w:left="310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73"/>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16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200" w:lineRule="exact"/>
        <w:rPr>
          <w:sz w:val="24"/>
          <w:szCs w:val="24"/>
          <w:color w:val="auto"/>
        </w:rPr>
      </w:pPr>
    </w:p>
    <w:p>
      <w:pPr>
        <w:spacing w:after="0" w:line="224" w:lineRule="exact"/>
        <w:rPr>
          <w:sz w:val="24"/>
          <w:szCs w:val="24"/>
          <w:color w:val="auto"/>
        </w:rPr>
      </w:pPr>
    </w:p>
    <w:p>
      <w:pPr>
        <w:ind w:right="5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52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13" w:lineRule="exact"/>
        <w:rPr>
          <w:sz w:val="24"/>
          <w:szCs w:val="24"/>
          <w:color w:val="auto"/>
        </w:rPr>
      </w:pPr>
    </w:p>
    <w:p>
      <w:pPr>
        <w:ind w:right="40"/>
        <w:spacing w:after="0" w:line="293" w:lineRule="auto"/>
        <w:rPr>
          <w:sz w:val="20"/>
          <w:szCs w:val="20"/>
          <w:color w:val="auto"/>
        </w:rPr>
      </w:pPr>
      <w:r>
        <w:rPr>
          <w:rFonts w:ascii="Arial" w:cs="Arial" w:eastAsia="Arial" w:hAnsi="Arial"/>
          <w:sz w:val="16"/>
          <w:szCs w:val="16"/>
          <w:color w:val="auto"/>
        </w:rPr>
        <w:t>As of November 22, 2021, the registrant had 23,000,000 shares of the registrant's Class A common stock, par value $0.001, and 94,155,596 shares of the registrant's Class B common stock, par value $0.001,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123825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548640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40" w:type="dxa"/>
            <w:vAlign w:val="bottom"/>
            <w:gridSpan w:val="4"/>
          </w:tcPr>
          <w:p>
            <w:pPr>
              <w:ind w:left="880"/>
              <w:spacing w:after="0"/>
              <w:rPr>
                <w:sz w:val="20"/>
                <w:szCs w:val="20"/>
                <w:color w:val="auto"/>
              </w:rPr>
            </w:pPr>
            <w:r>
              <w:rPr>
                <w:rFonts w:ascii="Arial" w:cs="Arial" w:eastAsia="Arial" w:hAnsi="Arial"/>
                <w:sz w:val="18"/>
                <w:szCs w:val="18"/>
                <w:b w:val="1"/>
                <w:bCs w:val="1"/>
                <w:color w:val="auto"/>
              </w:rPr>
              <w:t>Table of Contents</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89"/>
        </w:trPr>
        <w:tc>
          <w:tcPr>
            <w:tcW w:w="118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PART I.</w:t>
            </w:r>
          </w:p>
        </w:tc>
        <w:tc>
          <w:tcPr>
            <w:tcW w:w="9320" w:type="dxa"/>
            <w:vAlign w:val="bottom"/>
            <w:gridSpan w:val="16"/>
          </w:tcPr>
          <w:p>
            <w:pPr>
              <w:spacing w:after="0" w:line="189" w:lineRule="exact"/>
              <w:rPr>
                <w:rFonts w:ascii="Arial" w:cs="Arial" w:eastAsia="Arial" w:hAnsi="Arial"/>
                <w:sz w:val="18"/>
                <w:szCs w:val="18"/>
                <w:color w:val="0000FF"/>
              </w:rPr>
            </w:pPr>
            <w:hyperlink w:anchor="page3">
              <w:r>
                <w:rPr>
                  <w:rFonts w:ascii="Arial" w:cs="Arial" w:eastAsia="Arial" w:hAnsi="Arial"/>
                  <w:sz w:val="18"/>
                  <w:szCs w:val="18"/>
                  <w:color w:val="0000FF"/>
                </w:rPr>
                <w:t>FINANCIAL INFORMATION</w:t>
              </w:r>
            </w:hyperlink>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3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Balance Sheets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320" w:type="dxa"/>
            <w:vAlign w:val="bottom"/>
            <w:gridSpan w:val="16"/>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Statements of Operations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32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Changes in Stockholders' Equity</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8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32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Consolidated Statements of Cash Flows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320" w:type="dxa"/>
            <w:vAlign w:val="bottom"/>
            <w:gridSpan w:val="16"/>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Unaudited Consolidated Financial Statements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1640" w:type="dxa"/>
            <w:vAlign w:val="bottom"/>
            <w:tcBorders>
              <w:right w:val="single" w:sz="8" w:color="0000EE"/>
            </w:tcBorders>
            <w:gridSpan w:val="4"/>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320" w:type="dxa"/>
            <w:vAlign w:val="bottom"/>
            <w:gridSpan w:val="16"/>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Management’s Discussion and Analysis of Financial Condition and Results of Operations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320" w:type="dxa"/>
            <w:vAlign w:val="bottom"/>
            <w:gridSpan w:val="16"/>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Quantitative and Qualitative Disclosures About Market Risk</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320" w:type="dxa"/>
            <w:vAlign w:val="bottom"/>
            <w:gridSpan w:val="16"/>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Controls and Procedures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118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vMerge w:val="continue"/>
          </w:tcPr>
          <w:p>
            <w:pPr>
              <w:spacing w:after="0"/>
              <w:rPr>
                <w:sz w:val="19"/>
                <w:szCs w:val="19"/>
                <w:color w:val="auto"/>
              </w:rPr>
            </w:pPr>
          </w:p>
        </w:tc>
        <w:tc>
          <w:tcPr>
            <w:tcW w:w="9320" w:type="dxa"/>
            <w:vAlign w:val="bottom"/>
            <w:gridSpan w:val="16"/>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OTHER INFORMATION</w:t>
              </w:r>
            </w:hyperlink>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9320" w:type="dxa"/>
            <w:vAlign w:val="bottom"/>
            <w:gridSpan w:val="16"/>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Legal Proceedings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9320" w:type="dxa"/>
            <w:vAlign w:val="bottom"/>
            <w:gridSpan w:val="16"/>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Risk Factors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9320" w:type="dxa"/>
            <w:vAlign w:val="bottom"/>
            <w:gridSpan w:val="16"/>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Unregistered Sales of Equity Securities and Use of Proceeds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320" w:type="dxa"/>
            <w:vAlign w:val="bottom"/>
            <w:gridSpan w:val="16"/>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Defaults Upon Senior Securities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5"/>
            <w:shd w:val="clear" w:color="auto" w:fill="0000FF"/>
          </w:tcPr>
          <w:p>
            <w:pPr>
              <w:spacing w:after="0" w:line="20" w:lineRule="exact"/>
              <w:rPr>
                <w:sz w:val="1"/>
                <w:szCs w:val="1"/>
                <w:color w:val="auto"/>
              </w:rPr>
            </w:pPr>
          </w:p>
        </w:tc>
        <w:tc>
          <w:tcPr>
            <w:tcW w:w="7000" w:type="dxa"/>
            <w:vAlign w:val="bottom"/>
            <w:gridSpan w:val="7"/>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320" w:type="dxa"/>
            <w:vAlign w:val="bottom"/>
            <w:gridSpan w:val="16"/>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Mine Safety Disclosures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1"/>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9320" w:type="dxa"/>
            <w:vAlign w:val="bottom"/>
            <w:gridSpan w:val="16"/>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Other Information</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8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9320" w:type="dxa"/>
            <w:vAlign w:val="bottom"/>
            <w:gridSpan w:val="16"/>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Exhibits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23"/>
        </w:trPr>
        <w:tc>
          <w:tcPr>
            <w:tcW w:w="1180" w:type="dxa"/>
            <w:vAlign w:val="bottom"/>
            <w:gridSpan w:val="3"/>
          </w:tcPr>
          <w:p>
            <w:pPr>
              <w:ind w:left="20"/>
              <w:spacing w:after="0"/>
              <w:rPr>
                <w:rFonts w:ascii="Arial" w:cs="Arial" w:eastAsia="Arial" w:hAnsi="Arial"/>
                <w:sz w:val="18"/>
                <w:szCs w:val="18"/>
                <w:color w:val="0000FF"/>
              </w:rPr>
            </w:pPr>
            <w:hyperlink w:anchor="page55">
              <w:r>
                <w:rPr>
                  <w:rFonts w:ascii="Arial" w:cs="Arial" w:eastAsia="Arial" w:hAnsi="Arial"/>
                  <w:sz w:val="18"/>
                  <w:szCs w:val="18"/>
                  <w:color w:val="0000FF"/>
                </w:rPr>
                <w:t>Signatures</w:t>
              </w:r>
            </w:hyperlink>
          </w:p>
        </w:tc>
        <w:tc>
          <w:tcPr>
            <w:tcW w:w="20" w:type="dxa"/>
            <w:vAlign w:val="bottom"/>
          </w:tcPr>
          <w:p>
            <w:pPr>
              <w:spacing w:after="0"/>
              <w:rPr>
                <w:sz w:val="19"/>
                <w:szCs w:val="19"/>
                <w:color w:val="auto"/>
              </w:rPr>
            </w:pPr>
          </w:p>
        </w:tc>
        <w:tc>
          <w:tcPr>
            <w:tcW w:w="580" w:type="dxa"/>
            <w:vAlign w:val="bottom"/>
            <w:tcBorders>
              <w:top w:val="single" w:sz="8" w:color="0000FF"/>
            </w:tcBorders>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608"/>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P10,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16"/>
                <w:szCs w:val="16"/>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r>
      <w:tr>
        <w:trPr>
          <w:trHeight w:val="203"/>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7"/>
                <w:szCs w:val="17"/>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r>
      <w:tr>
        <w:trPr>
          <w:trHeight w:val="208"/>
        </w:trPr>
        <w:tc>
          <w:tcPr>
            <w:tcW w:w="7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2021</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8"/>
                <w:szCs w:val="18"/>
                <w:color w:val="auto"/>
              </w:rPr>
            </w:pPr>
          </w:p>
        </w:tc>
      </w:tr>
      <w:tr>
        <w:trPr>
          <w:trHeight w:val="196"/>
        </w:trPr>
        <w:tc>
          <w:tcPr>
            <w:tcW w:w="7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(Unaudited)</w:t>
            </w:r>
          </w:p>
        </w:tc>
        <w:tc>
          <w:tcPr>
            <w:tcW w:w="2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56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21,656</w:t>
            </w:r>
          </w:p>
        </w:tc>
        <w:tc>
          <w:tcPr>
            <w:tcW w:w="2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11,773</w:t>
            </w:r>
          </w:p>
        </w:tc>
        <w:tc>
          <w:tcPr>
            <w:tcW w:w="100" w:type="dxa"/>
            <w:vAlign w:val="bottom"/>
          </w:tcPr>
          <w:p>
            <w:pPr>
              <w:spacing w:after="0"/>
              <w:rPr>
                <w:sz w:val="21"/>
                <w:szCs w:val="21"/>
                <w:color w:val="auto"/>
              </w:rPr>
            </w:pPr>
          </w:p>
        </w:tc>
      </w:tr>
      <w:tr>
        <w:trPr>
          <w:trHeight w:val="263"/>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Restricted cash</w:t>
            </w:r>
          </w:p>
        </w:tc>
        <w:tc>
          <w:tcPr>
            <w:tcW w:w="24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6,421</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FF0FC"/>
          </w:tcPr>
          <w:p>
            <w:pPr>
              <w:spacing w:after="0"/>
              <w:rPr>
                <w:sz w:val="22"/>
                <w:szCs w:val="22"/>
                <w:color w:val="auto"/>
              </w:rPr>
            </w:pPr>
          </w:p>
        </w:tc>
      </w:tr>
      <w:tr>
        <w:trPr>
          <w:trHeight w:val="250"/>
        </w:trPr>
        <w:tc>
          <w:tcPr>
            <w:tcW w:w="756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7,656</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2,494</w:t>
            </w:r>
          </w:p>
        </w:tc>
        <w:tc>
          <w:tcPr>
            <w:tcW w:w="100" w:type="dxa"/>
            <w:vAlign w:val="bottom"/>
          </w:tcPr>
          <w:p>
            <w:pPr>
              <w:spacing w:after="0"/>
              <w:rPr>
                <w:sz w:val="21"/>
                <w:szCs w:val="21"/>
                <w:color w:val="auto"/>
              </w:rPr>
            </w:pPr>
          </w:p>
        </w:tc>
      </w:tr>
      <w:tr>
        <w:trPr>
          <w:trHeight w:val="263"/>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Note Receivable</w:t>
            </w:r>
          </w:p>
        </w:tc>
        <w:tc>
          <w:tcPr>
            <w:tcW w:w="24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2,270</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560" w:type="dxa"/>
            <w:vAlign w:val="bottom"/>
          </w:tcPr>
          <w:p>
            <w:pPr>
              <w:ind w:left="200"/>
              <w:spacing w:after="0"/>
              <w:rPr>
                <w:sz w:val="20"/>
                <w:szCs w:val="20"/>
                <w:color w:val="auto"/>
              </w:rPr>
            </w:pPr>
            <w:r>
              <w:rPr>
                <w:rFonts w:ascii="Arial" w:cs="Arial" w:eastAsia="Arial" w:hAnsi="Arial"/>
                <w:sz w:val="18"/>
                <w:szCs w:val="18"/>
                <w:color w:val="auto"/>
              </w:rPr>
              <w:t>Due from related parties</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3,615</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2,667</w:t>
            </w:r>
          </w:p>
        </w:tc>
        <w:tc>
          <w:tcPr>
            <w:tcW w:w="100" w:type="dxa"/>
            <w:vAlign w:val="bottom"/>
          </w:tcPr>
          <w:p>
            <w:pPr>
              <w:spacing w:after="0"/>
              <w:rPr>
                <w:sz w:val="21"/>
                <w:szCs w:val="21"/>
                <w:color w:val="auto"/>
              </w:rPr>
            </w:pPr>
          </w:p>
        </w:tc>
      </w:tr>
      <w:tr>
        <w:trPr>
          <w:trHeight w:val="263"/>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 in unconsolidated subsidiaries</w:t>
            </w:r>
          </w:p>
        </w:tc>
        <w:tc>
          <w:tcPr>
            <w:tcW w:w="24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w:t>
            </w:r>
          </w:p>
        </w:tc>
        <w:tc>
          <w:tcPr>
            <w:tcW w:w="100" w:type="dxa"/>
            <w:vAlign w:val="bottom"/>
            <w:shd w:val="clear" w:color="auto" w:fill="CFF0FC"/>
          </w:tcPr>
          <w:p>
            <w:pPr>
              <w:spacing w:after="0"/>
              <w:rPr>
                <w:sz w:val="22"/>
                <w:szCs w:val="22"/>
                <w:color w:val="auto"/>
              </w:rPr>
            </w:pPr>
          </w:p>
        </w:tc>
      </w:tr>
      <w:tr>
        <w:trPr>
          <w:trHeight w:val="250"/>
        </w:trPr>
        <w:tc>
          <w:tcPr>
            <w:tcW w:w="7560" w:type="dxa"/>
            <w:vAlign w:val="bottom"/>
          </w:tcPr>
          <w:p>
            <w:pPr>
              <w:ind w:left="200"/>
              <w:spacing w:after="0"/>
              <w:rPr>
                <w:sz w:val="20"/>
                <w:szCs w:val="20"/>
                <w:color w:val="auto"/>
              </w:rPr>
            </w:pPr>
            <w:r>
              <w:rPr>
                <w:rFonts w:ascii="Arial" w:cs="Arial" w:eastAsia="Arial" w:hAnsi="Arial"/>
                <w:sz w:val="18"/>
                <w:szCs w:val="18"/>
                <w:color w:val="auto"/>
              </w:rPr>
              <w:t>Prepaid expenses and other assets</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3,355</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21"/>
                <w:szCs w:val="21"/>
                <w:color w:val="auto"/>
              </w:rPr>
            </w:pPr>
          </w:p>
        </w:tc>
      </w:tr>
      <w:tr>
        <w:trPr>
          <w:trHeight w:val="263"/>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FF0FC"/>
          </w:tcPr>
          <w:p>
            <w:pPr>
              <w:spacing w:after="0"/>
              <w:rPr>
                <w:sz w:val="22"/>
                <w:szCs w:val="22"/>
                <w:color w:val="auto"/>
              </w:rPr>
            </w:pPr>
          </w:p>
        </w:tc>
      </w:tr>
      <w:tr>
        <w:trPr>
          <w:trHeight w:val="250"/>
        </w:trPr>
        <w:tc>
          <w:tcPr>
            <w:tcW w:w="7560" w:type="dxa"/>
            <w:vAlign w:val="bottom"/>
          </w:tcPr>
          <w:p>
            <w:pPr>
              <w:ind w:left="200"/>
              <w:spacing w:after="0"/>
              <w:rPr>
                <w:sz w:val="20"/>
                <w:szCs w:val="20"/>
                <w:color w:val="auto"/>
              </w:rPr>
            </w:pPr>
            <w:r>
              <w:rPr>
                <w:rFonts w:ascii="Arial" w:cs="Arial" w:eastAsia="Arial" w:hAnsi="Arial"/>
                <w:sz w:val="18"/>
                <w:szCs w:val="18"/>
                <w:color w:val="auto"/>
              </w:rPr>
              <w:t>Right-of-use assets</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7,095</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6,491</w:t>
            </w:r>
          </w:p>
        </w:tc>
        <w:tc>
          <w:tcPr>
            <w:tcW w:w="100" w:type="dxa"/>
            <w:vAlign w:val="bottom"/>
          </w:tcPr>
          <w:p>
            <w:pPr>
              <w:spacing w:after="0"/>
              <w:rPr>
                <w:sz w:val="21"/>
                <w:szCs w:val="21"/>
                <w:color w:val="auto"/>
              </w:rPr>
            </w:pPr>
          </w:p>
        </w:tc>
      </w:tr>
      <w:tr>
        <w:trPr>
          <w:trHeight w:val="263"/>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tax assets, net</w:t>
            </w:r>
          </w:p>
        </w:tc>
        <w:tc>
          <w:tcPr>
            <w:tcW w:w="24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35,494</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37,621</w:t>
            </w:r>
          </w:p>
        </w:tc>
        <w:tc>
          <w:tcPr>
            <w:tcW w:w="100" w:type="dxa"/>
            <w:vAlign w:val="bottom"/>
            <w:shd w:val="clear" w:color="auto" w:fill="CFF0FC"/>
          </w:tcPr>
          <w:p>
            <w:pPr>
              <w:spacing w:after="0"/>
              <w:rPr>
                <w:sz w:val="22"/>
                <w:szCs w:val="22"/>
                <w:color w:val="auto"/>
              </w:rPr>
            </w:pPr>
          </w:p>
        </w:tc>
      </w:tr>
      <w:tr>
        <w:trPr>
          <w:trHeight w:val="250"/>
        </w:trPr>
        <w:tc>
          <w:tcPr>
            <w:tcW w:w="7560" w:type="dxa"/>
            <w:vAlign w:val="bottom"/>
          </w:tcPr>
          <w:p>
            <w:pPr>
              <w:ind w:left="200"/>
              <w:spacing w:after="0"/>
              <w:rPr>
                <w:sz w:val="20"/>
                <w:szCs w:val="20"/>
                <w:color w:val="auto"/>
              </w:rPr>
            </w:pPr>
            <w:r>
              <w:rPr>
                <w:rFonts w:ascii="Arial" w:cs="Arial" w:eastAsia="Arial" w:hAnsi="Arial"/>
                <w:sz w:val="18"/>
                <w:szCs w:val="18"/>
                <w:color w:val="auto"/>
              </w:rPr>
              <w:t>Intangibles, net</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136,306</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143,738</w:t>
            </w:r>
          </w:p>
        </w:tc>
        <w:tc>
          <w:tcPr>
            <w:tcW w:w="100" w:type="dxa"/>
            <w:vAlign w:val="bottom"/>
          </w:tcPr>
          <w:p>
            <w:pPr>
              <w:spacing w:after="0"/>
              <w:rPr>
                <w:sz w:val="21"/>
                <w:szCs w:val="21"/>
                <w:color w:val="auto"/>
              </w:rPr>
            </w:pPr>
          </w:p>
        </w:tc>
      </w:tr>
      <w:tr>
        <w:trPr>
          <w:trHeight w:val="257"/>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417,401</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369,982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560" w:type="dxa"/>
            <w:vAlign w:val="bottom"/>
          </w:tcPr>
          <w:p>
            <w:pPr>
              <w:ind w:left="38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644,246</w:t>
            </w:r>
          </w:p>
        </w:tc>
        <w:tc>
          <w:tcPr>
            <w:tcW w:w="28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582,426</w:t>
            </w:r>
          </w:p>
        </w:tc>
        <w:tc>
          <w:tcPr>
            <w:tcW w:w="100" w:type="dxa"/>
            <w:vAlign w:val="bottom"/>
          </w:tcPr>
          <w:p>
            <w:pPr>
              <w:spacing w:after="0"/>
              <w:rPr>
                <w:sz w:val="21"/>
                <w:szCs w:val="21"/>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w:t>
            </w:r>
          </w:p>
        </w:tc>
        <w:tc>
          <w:tcPr>
            <w:tcW w:w="100" w:type="dxa"/>
            <w:vAlign w:val="bottom"/>
            <w:shd w:val="clear" w:color="auto" w:fill="CFF0FC"/>
          </w:tcPr>
          <w:p>
            <w:pPr>
              <w:spacing w:after="0"/>
              <w:rPr>
                <w:sz w:val="22"/>
                <w:szCs w:val="22"/>
                <w:color w:val="auto"/>
              </w:rPr>
            </w:pPr>
          </w:p>
        </w:tc>
      </w:tr>
      <w:tr>
        <w:trPr>
          <w:trHeight w:val="250"/>
        </w:trPr>
        <w:tc>
          <w:tcPr>
            <w:tcW w:w="7560" w:type="dxa"/>
            <w:vAlign w:val="bottom"/>
          </w:tcPr>
          <w:p>
            <w:pPr>
              <w:ind w:left="20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12,040</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12,505</w:t>
            </w:r>
          </w:p>
        </w:tc>
        <w:tc>
          <w:tcPr>
            <w:tcW w:w="100" w:type="dxa"/>
            <w:vAlign w:val="bottom"/>
          </w:tcPr>
          <w:p>
            <w:pPr>
              <w:spacing w:after="0"/>
              <w:rPr>
                <w:sz w:val="21"/>
                <w:szCs w:val="21"/>
                <w:color w:val="auto"/>
              </w:rPr>
            </w:pPr>
          </w:p>
        </w:tc>
      </w:tr>
      <w:tr>
        <w:trPr>
          <w:trHeight w:val="263"/>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Due to related parties</w:t>
            </w:r>
          </w:p>
        </w:tc>
        <w:tc>
          <w:tcPr>
            <w:tcW w:w="24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1,650</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w:t>
            </w:r>
          </w:p>
        </w:tc>
        <w:tc>
          <w:tcPr>
            <w:tcW w:w="100" w:type="dxa"/>
            <w:vAlign w:val="bottom"/>
            <w:shd w:val="clear" w:color="auto" w:fill="CFF0FC"/>
          </w:tcPr>
          <w:p>
            <w:pPr>
              <w:spacing w:after="0"/>
              <w:rPr>
                <w:sz w:val="22"/>
                <w:szCs w:val="22"/>
                <w:color w:val="auto"/>
              </w:rPr>
            </w:pPr>
          </w:p>
        </w:tc>
      </w:tr>
      <w:tr>
        <w:trPr>
          <w:trHeight w:val="250"/>
        </w:trPr>
        <w:tc>
          <w:tcPr>
            <w:tcW w:w="7560" w:type="dxa"/>
            <w:vAlign w:val="bottom"/>
          </w:tcPr>
          <w:p>
            <w:pPr>
              <w:ind w:left="200"/>
              <w:spacing w:after="0"/>
              <w:rPr>
                <w:sz w:val="20"/>
                <w:szCs w:val="20"/>
                <w:color w:val="auto"/>
              </w:rPr>
            </w:pPr>
            <w:r>
              <w:rPr>
                <w:rFonts w:ascii="Arial" w:cs="Arial" w:eastAsia="Arial" w:hAnsi="Arial"/>
                <w:sz w:val="18"/>
                <w:szCs w:val="18"/>
                <w:color w:val="auto"/>
              </w:rPr>
              <w:t>Other liabilities</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6,419</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r>
      <w:tr>
        <w:trPr>
          <w:trHeight w:val="263"/>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Contingent consideration</w:t>
            </w:r>
          </w:p>
        </w:tc>
        <w:tc>
          <w:tcPr>
            <w:tcW w:w="24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19,160</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560" w:type="dxa"/>
            <w:vAlign w:val="bottom"/>
          </w:tcPr>
          <w:p>
            <w:pPr>
              <w:ind w:left="200"/>
              <w:spacing w:after="0"/>
              <w:rPr>
                <w:sz w:val="20"/>
                <w:szCs w:val="20"/>
                <w:color w:val="auto"/>
              </w:rPr>
            </w:pPr>
            <w:r>
              <w:rPr>
                <w:rFonts w:ascii="Arial" w:cs="Arial" w:eastAsia="Arial" w:hAnsi="Arial"/>
                <w:sz w:val="18"/>
                <w:szCs w:val="18"/>
                <w:color w:val="auto"/>
              </w:rPr>
              <w:t>Deferred revenues</w:t>
            </w:r>
          </w:p>
        </w:tc>
        <w:tc>
          <w:tcPr>
            <w:tcW w:w="2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11,802</w:t>
            </w: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10,347</w:t>
            </w:r>
          </w:p>
        </w:tc>
        <w:tc>
          <w:tcPr>
            <w:tcW w:w="100" w:type="dxa"/>
            <w:vAlign w:val="bottom"/>
          </w:tcPr>
          <w:p>
            <w:pPr>
              <w:spacing w:after="0"/>
              <w:rPr>
                <w:sz w:val="21"/>
                <w:szCs w:val="21"/>
                <w:color w:val="auto"/>
              </w:rPr>
            </w:pPr>
          </w:p>
        </w:tc>
      </w:tr>
      <w:tr>
        <w:trPr>
          <w:trHeight w:val="263"/>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Lease liabilities</w:t>
            </w:r>
          </w:p>
        </w:tc>
        <w:tc>
          <w:tcPr>
            <w:tcW w:w="24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8,126</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7,682</w:t>
            </w:r>
          </w:p>
        </w:tc>
        <w:tc>
          <w:tcPr>
            <w:tcW w:w="100" w:type="dxa"/>
            <w:vAlign w:val="bottom"/>
            <w:shd w:val="clear" w:color="auto" w:fill="CFF0FC"/>
          </w:tcPr>
          <w:p>
            <w:pPr>
              <w:spacing w:after="0"/>
              <w:rPr>
                <w:sz w:val="22"/>
                <w:szCs w:val="22"/>
                <w:color w:val="auto"/>
              </w:rPr>
            </w:pPr>
          </w:p>
        </w:tc>
      </w:tr>
      <w:tr>
        <w:trPr>
          <w:trHeight w:val="250"/>
        </w:trPr>
        <w:tc>
          <w:tcPr>
            <w:tcW w:w="7560" w:type="dxa"/>
            <w:vAlign w:val="bottom"/>
          </w:tcPr>
          <w:p>
            <w:pPr>
              <w:ind w:left="200"/>
              <w:spacing w:after="0"/>
              <w:rPr>
                <w:sz w:val="20"/>
                <w:szCs w:val="20"/>
                <w:color w:val="auto"/>
              </w:rPr>
            </w:pPr>
            <w:r>
              <w:rPr>
                <w:rFonts w:ascii="Arial" w:cs="Arial" w:eastAsia="Arial" w:hAnsi="Arial"/>
                <w:sz w:val="18"/>
                <w:szCs w:val="18"/>
                <w:color w:val="auto"/>
              </w:rPr>
              <w:t>Debt obligations</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315,517</w:t>
            </w:r>
          </w:p>
        </w:tc>
        <w:tc>
          <w:tcPr>
            <w:tcW w:w="2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290,055</w:t>
            </w:r>
          </w:p>
        </w:tc>
        <w:tc>
          <w:tcPr>
            <w:tcW w:w="100" w:type="dxa"/>
            <w:vAlign w:val="bottom"/>
          </w:tcPr>
          <w:p>
            <w:pPr>
              <w:spacing w:after="0"/>
              <w:rPr>
                <w:sz w:val="21"/>
                <w:szCs w:val="21"/>
                <w:color w:val="auto"/>
              </w:rPr>
            </w:pPr>
          </w:p>
        </w:tc>
      </w:tr>
      <w:tr>
        <w:trPr>
          <w:trHeight w:val="257"/>
        </w:trPr>
        <w:tc>
          <w:tcPr>
            <w:tcW w:w="75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375,974</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324,146</w:t>
            </w:r>
          </w:p>
        </w:tc>
        <w:tc>
          <w:tcPr>
            <w:tcW w:w="100" w:type="dxa"/>
            <w:vAlign w:val="bottom"/>
            <w:shd w:val="clear" w:color="auto" w:fill="CFF0FC"/>
          </w:tcPr>
          <w:p>
            <w:pPr>
              <w:spacing w:after="0"/>
              <w:rPr>
                <w:sz w:val="22"/>
                <w:szCs w:val="22"/>
                <w:color w:val="auto"/>
              </w:rPr>
            </w:pP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color w:val="auto"/>
              </w:rPr>
              <w:t>COMMITMENTS AND CONTINGENCIES (NOTE 12)</w:t>
            </w: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7"/>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REDEEMABLE NONCONTROLLING INTEREST</w:t>
            </w:r>
          </w:p>
        </w:tc>
        <w:tc>
          <w:tcPr>
            <w:tcW w:w="24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199,202</w:t>
            </w:r>
          </w:p>
        </w:tc>
        <w:tc>
          <w:tcPr>
            <w:tcW w:w="2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198,439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9"/>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Common stock - $0.001 par value; 110,000,000 and 110,000,000 shares</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75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authorized, respectively; 62,587,823 and 62,587,823 issued, respectively; 62,464,371 and</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4"/>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62,464,371 outstanding, respectively</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21"/>
                <w:szCs w:val="21"/>
                <w:color w:val="auto"/>
              </w:rPr>
            </w:pPr>
          </w:p>
        </w:tc>
      </w:tr>
      <w:tr>
        <w:trPr>
          <w:trHeight w:val="250"/>
        </w:trPr>
        <w:tc>
          <w:tcPr>
            <w:tcW w:w="7560" w:type="dxa"/>
            <w:vAlign w:val="bottom"/>
          </w:tcPr>
          <w:p>
            <w:pPr>
              <w:ind w:left="200"/>
              <w:spacing w:after="0"/>
              <w:rPr>
                <w:sz w:val="20"/>
                <w:szCs w:val="20"/>
                <w:color w:val="auto"/>
              </w:rPr>
            </w:pPr>
            <w:r>
              <w:rPr>
                <w:rFonts w:ascii="Arial" w:cs="Arial" w:eastAsia="Arial" w:hAnsi="Arial"/>
                <w:sz w:val="18"/>
                <w:szCs w:val="18"/>
                <w:color w:val="auto"/>
              </w:rPr>
              <w:t>Treasury stock</w:t>
            </w: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(273 )</w:t>
            </w:r>
          </w:p>
        </w:tc>
        <w:tc>
          <w:tcPr>
            <w:tcW w:w="26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(273 )</w:t>
            </w:r>
          </w:p>
        </w:tc>
      </w:tr>
      <w:tr>
        <w:trPr>
          <w:trHeight w:val="263"/>
        </w:trPr>
        <w:tc>
          <w:tcPr>
            <w:tcW w:w="75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Additional paid-in-capital</w:t>
            </w:r>
          </w:p>
        </w:tc>
        <w:tc>
          <w:tcPr>
            <w:tcW w:w="24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325,762</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324,310</w:t>
            </w:r>
          </w:p>
        </w:tc>
        <w:tc>
          <w:tcPr>
            <w:tcW w:w="100" w:type="dxa"/>
            <w:vAlign w:val="bottom"/>
            <w:shd w:val="clear" w:color="auto" w:fill="CFF0FC"/>
          </w:tcPr>
          <w:p>
            <w:pPr>
              <w:spacing w:after="0"/>
              <w:rPr>
                <w:sz w:val="22"/>
                <w:szCs w:val="22"/>
                <w:color w:val="auto"/>
              </w:rPr>
            </w:pPr>
          </w:p>
        </w:tc>
      </w:tr>
      <w:tr>
        <w:trPr>
          <w:trHeight w:val="250"/>
        </w:trPr>
        <w:tc>
          <w:tcPr>
            <w:tcW w:w="756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21"/>
                <w:szCs w:val="21"/>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(256,482 )</w:t>
            </w:r>
          </w:p>
        </w:tc>
        <w:tc>
          <w:tcPr>
            <w:tcW w:w="260" w:type="dxa"/>
            <w:vAlign w:val="bottom"/>
          </w:tcPr>
          <w:p>
            <w:pPr>
              <w:spacing w:after="0"/>
              <w:rPr>
                <w:sz w:val="21"/>
                <w:szCs w:val="21"/>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(264,259 )</w:t>
            </w:r>
          </w:p>
        </w:tc>
      </w:tr>
      <w:tr>
        <w:trPr>
          <w:trHeight w:val="250"/>
        </w:trPr>
        <w:tc>
          <w:tcPr>
            <w:tcW w:w="75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69,070</w:t>
            </w:r>
          </w:p>
        </w:tc>
        <w:tc>
          <w:tcPr>
            <w:tcW w:w="2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59,841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644,246</w:t>
            </w:r>
          </w:p>
        </w:tc>
        <w:tc>
          <w:tcPr>
            <w:tcW w:w="28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582,426</w:t>
            </w:r>
          </w:p>
        </w:tc>
        <w:tc>
          <w:tcPr>
            <w:tcW w:w="100" w:type="dxa"/>
            <w:vAlign w:val="bottom"/>
          </w:tcPr>
          <w:p>
            <w:pPr>
              <w:spacing w:after="0"/>
              <w:rPr>
                <w:sz w:val="21"/>
                <w:szCs w:val="21"/>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-3802380</wp:posOffset>
            </wp:positionV>
            <wp:extent cx="1803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-3802380</wp:posOffset>
            </wp:positionV>
            <wp:extent cx="5969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-1479550</wp:posOffset>
            </wp:positionV>
            <wp:extent cx="1803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-1479550</wp:posOffset>
            </wp:positionV>
            <wp:extent cx="5969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-193675</wp:posOffset>
            </wp:positionV>
            <wp:extent cx="1803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-193675</wp:posOffset>
            </wp:positionV>
            <wp:extent cx="5969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The 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6"/>
                <w:szCs w:val="16"/>
                <w:color w:val="auto"/>
              </w:rPr>
            </w:pPr>
          </w:p>
        </w:tc>
        <w:tc>
          <w:tcPr>
            <w:tcW w:w="238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208"/>
        </w:trPr>
        <w:tc>
          <w:tcPr>
            <w:tcW w:w="5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0" w:type="dxa"/>
            <w:vAlign w:val="bottom"/>
          </w:tcPr>
          <w:p>
            <w:pPr>
              <w:ind w:left="200"/>
              <w:spacing w:after="0"/>
              <w:rPr>
                <w:sz w:val="20"/>
                <w:szCs w:val="20"/>
                <w:color w:val="auto"/>
              </w:rPr>
            </w:pPr>
            <w:r>
              <w:rPr>
                <w:rFonts w:ascii="Arial" w:cs="Arial" w:eastAsia="Arial" w:hAnsi="Arial"/>
                <w:sz w:val="18"/>
                <w:szCs w:val="18"/>
                <w:color w:val="auto"/>
              </w:rPr>
              <w:t>Management and advisory fees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37,939</w:t>
            </w:r>
          </w:p>
        </w:tc>
        <w:tc>
          <w:tcPr>
            <w:tcW w:w="26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15,222</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104,029</w:t>
            </w:r>
          </w:p>
        </w:tc>
        <w:tc>
          <w:tcPr>
            <w:tcW w:w="2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41,821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2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872</w:t>
            </w: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861</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38,145</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15,381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104,901</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42,682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0" w:type="dxa"/>
            <w:vAlign w:val="bottom"/>
          </w:tcPr>
          <w:p>
            <w:pPr>
              <w:ind w:left="200"/>
              <w:spacing w:after="0"/>
              <w:rPr>
                <w:sz w:val="20"/>
                <w:szCs w:val="20"/>
                <w:color w:val="auto"/>
              </w:rPr>
            </w:pPr>
            <w:r>
              <w:rPr>
                <w:rFonts w:ascii="Arial" w:cs="Arial" w:eastAsia="Arial" w:hAnsi="Arial"/>
                <w:sz w:val="18"/>
                <w:szCs w:val="18"/>
                <w:color w:val="auto"/>
              </w:rPr>
              <w:t>Compensation and benefits</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14,009</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5,918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38,119</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15,818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Professional fees</w:t>
            </w: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2,595</w:t>
            </w: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2,627</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7,856</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0" w:type="dxa"/>
            <w:vAlign w:val="bottom"/>
          </w:tcPr>
          <w:p>
            <w:pPr>
              <w:ind w:left="200"/>
              <w:spacing w:after="0"/>
              <w:rPr>
                <w:sz w:val="20"/>
                <w:szCs w:val="20"/>
                <w:color w:val="auto"/>
              </w:rPr>
            </w:pPr>
            <w:r>
              <w:rPr>
                <w:rFonts w:ascii="Arial" w:cs="Arial" w:eastAsia="Arial" w:hAnsi="Arial"/>
                <w:sz w:val="18"/>
                <w:szCs w:val="18"/>
                <w:color w:val="auto"/>
              </w:rPr>
              <w:t>General, administrative and other</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3,019</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8,310</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5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Amortization of intangibles</w:t>
            </w: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7,484</w:t>
            </w:r>
          </w:p>
        </w:tc>
        <w:tc>
          <w:tcPr>
            <w:tcW w:w="2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spacing w:after="0"/>
              <w:rPr>
                <w:sz w:val="22"/>
                <w:szCs w:val="2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3,572</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22,452</w:t>
            </w: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9,606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506"/>
        </w:trPr>
        <w:tc>
          <w:tcPr>
            <w:tcW w:w="580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27,107</w:t>
            </w:r>
          </w:p>
        </w:tc>
        <w:tc>
          <w:tcPr>
            <w:tcW w:w="2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13,185</w:t>
            </w:r>
          </w:p>
        </w:tc>
        <w:tc>
          <w:tcPr>
            <w:tcW w:w="2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76,737</w:t>
            </w:r>
          </w:p>
        </w:tc>
        <w:tc>
          <w:tcPr>
            <w:tcW w:w="2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11,038</w:t>
            </w: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w:t>
            </w:r>
          </w:p>
        </w:tc>
        <w:tc>
          <w:tcPr>
            <w:tcW w:w="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28,164</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8,921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OTHER (EXPENSE)/INCOME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 implied on notes payable to sellers</w:t>
            </w:r>
          </w:p>
        </w:tc>
        <w:tc>
          <w:tcPr>
            <w:tcW w:w="2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(223 )</w:t>
            </w:r>
          </w:p>
        </w:tc>
        <w:tc>
          <w:tcPr>
            <w:tcW w:w="36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(216 )</w:t>
            </w:r>
          </w:p>
        </w:tc>
        <w:tc>
          <w:tcPr>
            <w:tcW w:w="26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(657 )</w:t>
            </w:r>
          </w:p>
        </w:tc>
        <w:tc>
          <w:tcPr>
            <w:tcW w:w="380" w:type="dxa"/>
            <w:vAlign w:val="bottom"/>
            <w:shd w:val="clear" w:color="auto" w:fill="CFF0FC"/>
          </w:tcPr>
          <w:p>
            <w:pPr>
              <w:spacing w:after="0"/>
              <w:rPr>
                <w:sz w:val="22"/>
                <w:szCs w:val="22"/>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(771 )</w:t>
            </w:r>
          </w:p>
        </w:tc>
        <w:tc>
          <w:tcPr>
            <w:tcW w:w="0" w:type="dxa"/>
            <w:vAlign w:val="bottom"/>
          </w:tcPr>
          <w:p>
            <w:pPr>
              <w:spacing w:after="0"/>
              <w:rPr>
                <w:sz w:val="1"/>
                <w:szCs w:val="1"/>
                <w:color w:val="auto"/>
              </w:rPr>
            </w:pPr>
          </w:p>
        </w:tc>
      </w:tr>
      <w:tr>
        <w:trPr>
          <w:trHeight w:val="250"/>
        </w:trPr>
        <w:tc>
          <w:tcPr>
            <w:tcW w:w="580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(5,261 )</w:t>
            </w:r>
          </w:p>
        </w:tc>
        <w:tc>
          <w:tcPr>
            <w:tcW w:w="360" w:type="dxa"/>
            <w:vAlign w:val="bottom"/>
          </w:tcPr>
          <w:p>
            <w:pPr>
              <w:spacing w:after="0"/>
              <w:rPr>
                <w:sz w:val="21"/>
                <w:szCs w:val="2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(2,089 )</w:t>
            </w:r>
          </w:p>
        </w:tc>
        <w:tc>
          <w:tcPr>
            <w:tcW w:w="26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(15,761 )</w:t>
            </w:r>
          </w:p>
        </w:tc>
        <w:tc>
          <w:tcPr>
            <w:tcW w:w="38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(6,498 )</w:t>
            </w:r>
          </w:p>
        </w:tc>
        <w:tc>
          <w:tcPr>
            <w:tcW w:w="0" w:type="dxa"/>
            <w:vAlign w:val="bottom"/>
          </w:tcPr>
          <w:p>
            <w:pPr>
              <w:spacing w:after="0"/>
              <w:rPr>
                <w:sz w:val="1"/>
                <w:szCs w:val="1"/>
                <w:color w:val="auto"/>
              </w:rPr>
            </w:pPr>
          </w:p>
        </w:tc>
      </w:tr>
      <w:tr>
        <w:trPr>
          <w:trHeight w:val="257"/>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income/(expense)</w:t>
            </w: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26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(1 )</w:t>
            </w:r>
          </w:p>
        </w:tc>
        <w:tc>
          <w:tcPr>
            <w:tcW w:w="2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0" w:type="dxa"/>
            <w:vAlign w:val="bottom"/>
          </w:tcPr>
          <w:p>
            <w:pPr>
              <w:ind w:left="380"/>
              <w:spacing w:after="0"/>
              <w:rPr>
                <w:sz w:val="20"/>
                <w:szCs w:val="20"/>
                <w:color w:val="auto"/>
              </w:rPr>
            </w:pPr>
            <w:r>
              <w:rPr>
                <w:rFonts w:ascii="Arial" w:cs="Arial" w:eastAsia="Arial" w:hAnsi="Arial"/>
                <w:sz w:val="18"/>
                <w:szCs w:val="18"/>
                <w:color w:val="auto"/>
              </w:rPr>
              <w:t>Total other (expense)</w:t>
            </w:r>
          </w:p>
        </w:tc>
        <w:tc>
          <w:tcPr>
            <w:tcW w:w="2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(5,201 )</w:t>
            </w:r>
          </w:p>
        </w:tc>
        <w:tc>
          <w:tcPr>
            <w:tcW w:w="36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(2,306 )</w:t>
            </w:r>
          </w:p>
        </w:tc>
        <w:tc>
          <w:tcPr>
            <w:tcW w:w="26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(15,750 )</w:t>
            </w:r>
          </w:p>
        </w:tc>
        <w:tc>
          <w:tcPr>
            <w:tcW w:w="38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(7,248 )</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5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income/(loss) before income taxes</w:t>
            </w:r>
          </w:p>
        </w:tc>
        <w:tc>
          <w:tcPr>
            <w:tcW w:w="240" w:type="dxa"/>
            <w:vAlign w:val="bottom"/>
            <w:shd w:val="clear" w:color="auto" w:fill="CFF0FC"/>
          </w:tcPr>
          <w:p>
            <w:pPr>
              <w:spacing w:after="0"/>
              <w:rPr>
                <w:sz w:val="24"/>
                <w:szCs w:val="24"/>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5,837</w:t>
            </w:r>
          </w:p>
        </w:tc>
        <w:tc>
          <w:tcPr>
            <w:tcW w:w="260" w:type="dxa"/>
            <w:vAlign w:val="bottom"/>
            <w:shd w:val="clear" w:color="auto" w:fill="CFF0FC"/>
          </w:tcPr>
          <w:p>
            <w:pPr>
              <w:spacing w:after="0"/>
              <w:rPr>
                <w:sz w:val="24"/>
                <w:szCs w:val="24"/>
                <w:color w:val="auto"/>
              </w:rPr>
            </w:pPr>
          </w:p>
        </w:tc>
        <w:tc>
          <w:tcPr>
            <w:tcW w:w="360" w:type="dxa"/>
            <w:vAlign w:val="bottom"/>
            <w:shd w:val="clear" w:color="auto" w:fill="CFF0FC"/>
          </w:tcPr>
          <w:p>
            <w:pPr>
              <w:spacing w:after="0"/>
              <w:rPr>
                <w:sz w:val="24"/>
                <w:szCs w:val="24"/>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(110 )</w:t>
            </w:r>
          </w:p>
        </w:tc>
        <w:tc>
          <w:tcPr>
            <w:tcW w:w="260" w:type="dxa"/>
            <w:vAlign w:val="bottom"/>
            <w:shd w:val="clear" w:color="auto" w:fill="CFF0FC"/>
          </w:tcPr>
          <w:p>
            <w:pPr>
              <w:spacing w:after="0"/>
              <w:rPr>
                <w:sz w:val="24"/>
                <w:szCs w:val="2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12,414</w:t>
            </w:r>
          </w:p>
        </w:tc>
        <w:tc>
          <w:tcPr>
            <w:tcW w:w="24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1,673</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800" w:type="dxa"/>
            <w:vAlign w:val="bottom"/>
          </w:tcPr>
          <w:p>
            <w:pPr>
              <w:ind w:left="200"/>
              <w:spacing w:after="0"/>
              <w:rPr>
                <w:sz w:val="20"/>
                <w:szCs w:val="20"/>
                <w:color w:val="auto"/>
              </w:rPr>
            </w:pPr>
            <w:r>
              <w:rPr>
                <w:rFonts w:ascii="Arial" w:cs="Arial" w:eastAsia="Arial" w:hAnsi="Arial"/>
                <w:sz w:val="18"/>
                <w:szCs w:val="18"/>
                <w:color w:val="auto"/>
              </w:rPr>
              <w:t>Income tax (expense)/benefit</w:t>
            </w:r>
          </w:p>
        </w:tc>
        <w:tc>
          <w:tcPr>
            <w:tcW w:w="240" w:type="dxa"/>
            <w:vAlign w:val="bottom"/>
          </w:tcPr>
          <w:p>
            <w:pPr>
              <w:spacing w:after="0"/>
              <w:rPr>
                <w:sz w:val="24"/>
                <w:szCs w:val="2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(1,759 )</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(3,154 )</w:t>
            </w: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4,078</w:t>
            </w:r>
          </w:p>
        </w:tc>
        <w:tc>
          <w:tcPr>
            <w:tcW w:w="26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9,260</w:t>
            </w:r>
          </w:p>
        </w:tc>
        <w:tc>
          <w:tcPr>
            <w:tcW w:w="2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3,186</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5800" w:type="dxa"/>
            <w:vAlign w:val="bottom"/>
          </w:tcPr>
          <w:p>
            <w:pPr>
              <w:ind w:left="200"/>
              <w:spacing w:after="0"/>
              <w:rPr>
                <w:sz w:val="20"/>
                <w:szCs w:val="20"/>
                <w:color w:val="auto"/>
              </w:rPr>
            </w:pPr>
            <w:r>
              <w:rPr>
                <w:rFonts w:ascii="Arial" w:cs="Arial" w:eastAsia="Arial" w:hAnsi="Arial"/>
                <w:sz w:val="18"/>
                <w:szCs w:val="18"/>
                <w:color w:val="auto"/>
              </w:rPr>
              <w:t>Less: preferred dividends attributable to redeemable</w:t>
            </w:r>
          </w:p>
        </w:tc>
        <w:tc>
          <w:tcPr>
            <w:tcW w:w="240" w:type="dxa"/>
            <w:vAlign w:val="bottom"/>
          </w:tcPr>
          <w:p>
            <w:pPr>
              <w:spacing w:after="0"/>
              <w:rPr>
                <w:sz w:val="21"/>
                <w:szCs w:val="21"/>
                <w:color w:val="auto"/>
              </w:rPr>
            </w:pP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(494 )</w:t>
            </w:r>
          </w:p>
        </w:tc>
        <w:tc>
          <w:tcPr>
            <w:tcW w:w="360" w:type="dxa"/>
            <w:vAlign w:val="bottom"/>
          </w:tcPr>
          <w:p>
            <w:pPr>
              <w:spacing w:after="0"/>
              <w:rPr>
                <w:sz w:val="21"/>
                <w:szCs w:val="2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(153 )</w:t>
            </w:r>
          </w:p>
        </w:tc>
        <w:tc>
          <w:tcPr>
            <w:tcW w:w="260" w:type="dxa"/>
            <w:vAlign w:val="bottom"/>
          </w:tcPr>
          <w:p>
            <w:pPr>
              <w:spacing w:after="0"/>
              <w:rPr>
                <w:sz w:val="21"/>
                <w:szCs w:val="21"/>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(1,483 )</w:t>
            </w:r>
          </w:p>
        </w:tc>
        <w:tc>
          <w:tcPr>
            <w:tcW w:w="380" w:type="dxa"/>
            <w:vAlign w:val="bottom"/>
          </w:tcPr>
          <w:p>
            <w:pPr>
              <w:spacing w:after="0"/>
              <w:rPr>
                <w:sz w:val="21"/>
                <w:szCs w:val="21"/>
                <w:color w:val="auto"/>
              </w:rPr>
            </w:pPr>
          </w:p>
        </w:tc>
        <w:tc>
          <w:tcPr>
            <w:tcW w:w="8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(306 )</w:t>
            </w:r>
          </w:p>
        </w:tc>
        <w:tc>
          <w:tcPr>
            <w:tcW w:w="0" w:type="dxa"/>
            <w:vAlign w:val="bottom"/>
          </w:tcPr>
          <w:p>
            <w:pPr>
              <w:spacing w:after="0"/>
              <w:rPr>
                <w:sz w:val="1"/>
                <w:szCs w:val="1"/>
                <w:color w:val="auto"/>
              </w:rPr>
            </w:pPr>
          </w:p>
        </w:tc>
      </w:tr>
      <w:tr>
        <w:trPr>
          <w:trHeight w:val="230"/>
        </w:trPr>
        <w:tc>
          <w:tcPr>
            <w:tcW w:w="5800" w:type="dxa"/>
            <w:vAlign w:val="bottom"/>
          </w:tcPr>
          <w:p>
            <w:pPr>
              <w:ind w:left="340"/>
              <w:spacing w:after="0"/>
              <w:rPr>
                <w:sz w:val="20"/>
                <w:szCs w:val="20"/>
                <w:color w:val="auto"/>
              </w:rPr>
            </w:pPr>
            <w:r>
              <w:rPr>
                <w:rFonts w:ascii="Arial" w:cs="Arial" w:eastAsia="Arial" w:hAnsi="Arial"/>
                <w:sz w:val="18"/>
                <w:szCs w:val="18"/>
                <w:color w:val="auto"/>
              </w:rPr>
              <w:t>noncontrolling interest</w:t>
            </w:r>
          </w:p>
        </w:tc>
        <w:tc>
          <w:tcPr>
            <w:tcW w:w="24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INCOME/(LOSS) ATTRIBUTABLE TO P10</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3,584</w:t>
            </w:r>
          </w:p>
        </w:tc>
        <w:tc>
          <w:tcPr>
            <w:tcW w:w="260" w:type="dxa"/>
            <w:vAlign w:val="bottom"/>
            <w:shd w:val="clear" w:color="auto" w:fill="CFF0FC"/>
          </w:tcPr>
          <w:p>
            <w:pPr>
              <w:spacing w:after="0"/>
              <w:rPr>
                <w:sz w:val="24"/>
                <w:szCs w:val="24"/>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(88 )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7,777</w:t>
            </w:r>
          </w:p>
        </w:tc>
        <w:tc>
          <w:tcPr>
            <w:tcW w:w="240" w:type="dxa"/>
            <w:vAlign w:val="bottom"/>
            <w:shd w:val="clear" w:color="auto" w:fill="CFF0FC"/>
          </w:tcPr>
          <w:p>
            <w:pPr>
              <w:spacing w:after="0"/>
              <w:rPr>
                <w:sz w:val="24"/>
                <w:szCs w:val="24"/>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2,880</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58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Earnings per share</w:t>
            </w: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5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(0.00 )</w:t>
            </w:r>
          </w:p>
        </w:tc>
        <w:tc>
          <w:tcPr>
            <w:tcW w:w="26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200"/>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0.04</w:t>
            </w:r>
          </w:p>
        </w:tc>
        <w:tc>
          <w:tcPr>
            <w:tcW w:w="26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(0.00 )</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0.08</w:t>
            </w:r>
          </w:p>
        </w:tc>
        <w:tc>
          <w:tcPr>
            <w:tcW w:w="24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5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60" w:type="dxa"/>
            <w:vAlign w:val="bottom"/>
          </w:tcPr>
          <w:p>
            <w:pPr>
              <w:spacing w:after="0"/>
              <w:rPr>
                <w:sz w:val="3"/>
                <w:szCs w:val="3"/>
                <w:color w:val="auto"/>
              </w:rPr>
            </w:pPr>
          </w:p>
        </w:tc>
        <w:tc>
          <w:tcPr>
            <w:tcW w:w="9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shares outstanding, basic</w:t>
            </w:r>
          </w:p>
        </w:tc>
        <w:tc>
          <w:tcPr>
            <w:tcW w:w="24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62,464</w:t>
            </w:r>
          </w:p>
        </w:tc>
        <w:tc>
          <w:tcPr>
            <w:tcW w:w="26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CFF0FC"/>
            </w:tcBorders>
            <w:shd w:val="clear" w:color="auto" w:fill="CFF0FC"/>
          </w:tcPr>
          <w:p>
            <w:pPr>
              <w:spacing w:after="0"/>
              <w:rPr>
                <w:sz w:val="22"/>
                <w:szCs w:val="22"/>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62,464</w:t>
            </w:r>
          </w:p>
        </w:tc>
        <w:tc>
          <w:tcPr>
            <w:tcW w:w="2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62,464</w:t>
            </w:r>
          </w:p>
        </w:tc>
        <w:tc>
          <w:tcPr>
            <w:tcW w:w="24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62,464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00" w:type="dxa"/>
            <w:vAlign w:val="bottom"/>
          </w:tcPr>
          <w:p>
            <w:pPr>
              <w:ind w:left="20"/>
              <w:spacing w:after="0"/>
              <w:rPr>
                <w:sz w:val="20"/>
                <w:szCs w:val="20"/>
                <w:color w:val="auto"/>
              </w:rPr>
            </w:pPr>
            <w:r>
              <w:rPr>
                <w:rFonts w:ascii="Arial" w:cs="Arial" w:eastAsia="Arial" w:hAnsi="Arial"/>
                <w:sz w:val="18"/>
                <w:szCs w:val="18"/>
                <w:color w:val="auto"/>
              </w:rPr>
              <w:t>Weighted average shares outstanding, diluted</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66,787</w:t>
            </w: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62,464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66,702</w:t>
            </w:r>
          </w:p>
        </w:tc>
        <w:tc>
          <w:tcPr>
            <w:tcW w:w="2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64,442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-4462780</wp:posOffset>
            </wp:positionV>
            <wp:extent cx="16319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-4462780</wp:posOffset>
            </wp:positionV>
            <wp:extent cx="145415"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-4462780</wp:posOffset>
            </wp:positionV>
            <wp:extent cx="14605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-4462780</wp:posOffset>
            </wp:positionV>
            <wp:extent cx="5969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-3476625</wp:posOffset>
            </wp:positionV>
            <wp:extent cx="163195"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-3476625</wp:posOffset>
            </wp:positionV>
            <wp:extent cx="14541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-3476625</wp:posOffset>
            </wp:positionV>
            <wp:extent cx="14605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-3476625</wp:posOffset>
            </wp:positionV>
            <wp:extent cx="5969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-2319655</wp:posOffset>
            </wp:positionV>
            <wp:extent cx="16319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-2319655</wp:posOffset>
            </wp:positionV>
            <wp:extent cx="14541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-2319655</wp:posOffset>
            </wp:positionV>
            <wp:extent cx="14605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-2319655</wp:posOffset>
            </wp:positionV>
            <wp:extent cx="5969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-1573530</wp:posOffset>
            </wp:positionV>
            <wp:extent cx="16319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-1573530</wp:posOffset>
            </wp:positionV>
            <wp:extent cx="14541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541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-1573530</wp:posOffset>
            </wp:positionV>
            <wp:extent cx="14605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-1573530</wp:posOffset>
            </wp:positionV>
            <wp:extent cx="5969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-1079500</wp:posOffset>
            </wp:positionV>
            <wp:extent cx="1631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-1062355</wp:posOffset>
            </wp:positionV>
            <wp:extent cx="1631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-1079500</wp:posOffset>
            </wp:positionV>
            <wp:extent cx="1454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-1062355</wp:posOffset>
            </wp:positionV>
            <wp:extent cx="1454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-1079500</wp:posOffset>
            </wp:positionV>
            <wp:extent cx="14605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-1062355</wp:posOffset>
            </wp:positionV>
            <wp:extent cx="14605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-1079500</wp:posOffset>
            </wp:positionV>
            <wp:extent cx="596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-1062355</wp:posOffset>
            </wp:positionV>
            <wp:extent cx="59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The 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Total</w:t>
            </w:r>
          </w:p>
        </w:tc>
      </w:tr>
      <w:tr>
        <w:trPr>
          <w:trHeight w:val="215"/>
        </w:trPr>
        <w:tc>
          <w:tcPr>
            <w:tcW w:w="2700" w:type="dxa"/>
            <w:vAlign w:val="bottom"/>
          </w:tcPr>
          <w:p>
            <w:pPr>
              <w:spacing w:after="0"/>
              <w:rPr>
                <w:sz w:val="18"/>
                <w:szCs w:val="18"/>
                <w:color w:val="auto"/>
              </w:rPr>
            </w:pPr>
          </w:p>
        </w:tc>
        <w:tc>
          <w:tcPr>
            <w:tcW w:w="232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8"/>
                <w:szCs w:val="18"/>
                <w:color w:val="auto"/>
              </w:rPr>
            </w:pPr>
          </w:p>
        </w:tc>
        <w:tc>
          <w:tcPr>
            <w:tcW w:w="226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Treasury stock</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32"/>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8"/>
                <w:szCs w:val="18"/>
                <w:color w:val="auto"/>
              </w:rPr>
            </w:pPr>
          </w:p>
        </w:tc>
        <w:tc>
          <w:tcPr>
            <w:tcW w:w="12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Accumulated</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r>
      <w:tr>
        <w:trPr>
          <w:trHeight w:val="190"/>
        </w:trPr>
        <w:tc>
          <w:tcPr>
            <w:tcW w:w="2700" w:type="dxa"/>
            <w:vAlign w:val="bottom"/>
          </w:tcPr>
          <w:p>
            <w:pPr>
              <w:spacing w:after="0"/>
              <w:rPr>
                <w:sz w:val="16"/>
                <w:szCs w:val="16"/>
                <w:color w:val="auto"/>
              </w:rPr>
            </w:pPr>
          </w:p>
        </w:tc>
        <w:tc>
          <w:tcPr>
            <w:tcW w:w="10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0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Paid-in-capital</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8"/>
              </w:rPr>
              <w:t>Equity</w:t>
            </w:r>
          </w:p>
        </w:tc>
      </w:tr>
      <w:tr>
        <w:trPr>
          <w:trHeight w:val="256"/>
        </w:trPr>
        <w:tc>
          <w:tcPr>
            <w:tcW w:w="2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62,464</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(273 )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323,596</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(287,345 )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36,041</w:t>
            </w:r>
          </w:p>
        </w:tc>
      </w:tr>
      <w:tr>
        <w:trPr>
          <w:trHeight w:val="277"/>
        </w:trPr>
        <w:tc>
          <w:tcPr>
            <w:tcW w:w="270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143</w:t>
            </w:r>
          </w:p>
        </w:tc>
      </w:tr>
      <w:tr>
        <w:trPr>
          <w:trHeight w:val="270"/>
        </w:trPr>
        <w:tc>
          <w:tcPr>
            <w:tcW w:w="2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income attributable to P10</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right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right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1,841</w:t>
            </w:r>
          </w:p>
        </w:tc>
        <w:tc>
          <w:tcPr>
            <w:tcW w:w="1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900" w:type="dxa"/>
            <w:vAlign w:val="bottom"/>
            <w:tcBorders>
              <w:bottom w:val="single" w:sz="8" w:color="auto"/>
              <w:right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1,841</w:t>
            </w:r>
          </w:p>
        </w:tc>
      </w:tr>
      <w:tr>
        <w:trPr>
          <w:trHeight w:val="250"/>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040" w:type="dxa"/>
            <w:vAlign w:val="bottom"/>
          </w:tcPr>
          <w:p>
            <w:pPr>
              <w:jc w:val="right"/>
              <w:spacing w:after="0"/>
              <w:rPr>
                <w:sz w:val="20"/>
                <w:szCs w:val="20"/>
                <w:color w:val="auto"/>
              </w:rPr>
            </w:pPr>
            <w:r>
              <w:rPr>
                <w:rFonts w:ascii="Arial" w:cs="Arial" w:eastAsia="Arial" w:hAnsi="Arial"/>
                <w:sz w:val="18"/>
                <w:szCs w:val="18"/>
                <w:color w:val="auto"/>
              </w:rPr>
              <w:t>62,464</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(273 )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323,739</w:t>
            </w:r>
          </w:p>
        </w:tc>
        <w:tc>
          <w:tcPr>
            <w:tcW w:w="3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(285,504 )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38,025</w:t>
            </w:r>
          </w:p>
        </w:tc>
      </w:tr>
      <w:tr>
        <w:trPr>
          <w:trHeight w:val="20"/>
        </w:trPr>
        <w:tc>
          <w:tcPr>
            <w:tcW w:w="2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71"/>
        </w:trPr>
        <w:tc>
          <w:tcPr>
            <w:tcW w:w="2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3"/>
                <w:szCs w:val="23"/>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0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3"/>
                <w:szCs w:val="23"/>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00" w:type="dxa"/>
            <w:vAlign w:val="bottom"/>
            <w:tcBorders>
              <w:right w:val="single" w:sz="8" w:color="CFF0FC"/>
            </w:tcBorders>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0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3"/>
                <w:szCs w:val="23"/>
                <w:color w:val="auto"/>
              </w:rPr>
            </w:pP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187</w:t>
            </w:r>
          </w:p>
        </w:tc>
      </w:tr>
      <w:tr>
        <w:trPr>
          <w:trHeight w:val="263"/>
        </w:trPr>
        <w:tc>
          <w:tcPr>
            <w:tcW w:w="2700" w:type="dxa"/>
            <w:vAlign w:val="bottom"/>
          </w:tcPr>
          <w:p>
            <w:pPr>
              <w:ind w:left="200"/>
              <w:spacing w:after="0"/>
              <w:rPr>
                <w:sz w:val="20"/>
                <w:szCs w:val="20"/>
                <w:color w:val="auto"/>
              </w:rPr>
            </w:pPr>
            <w:r>
              <w:rPr>
                <w:rFonts w:ascii="Arial" w:cs="Arial" w:eastAsia="Arial" w:hAnsi="Arial"/>
                <w:sz w:val="18"/>
                <w:szCs w:val="18"/>
                <w:color w:val="auto"/>
              </w:rPr>
              <w:t>Net income attributable to P10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1,127</w:t>
            </w:r>
          </w:p>
        </w:tc>
      </w:tr>
      <w:tr>
        <w:trPr>
          <w:trHeight w:val="290"/>
        </w:trPr>
        <w:tc>
          <w:tcPr>
            <w:tcW w:w="2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62,464</w:t>
            </w:r>
          </w:p>
        </w:tc>
        <w:tc>
          <w:tcPr>
            <w:tcW w:w="22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24"/>
                <w:szCs w:val="24"/>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(273 )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323,926</w:t>
            </w:r>
          </w:p>
        </w:tc>
        <w:tc>
          <w:tcPr>
            <w:tcW w:w="380" w:type="dxa"/>
            <w:vAlign w:val="bottom"/>
            <w:gridSpan w:val="2"/>
            <w:shd w:val="clear" w:color="auto" w:fill="CFF0FC"/>
          </w:tcPr>
          <w:p>
            <w:pPr>
              <w:jc w:val="right"/>
              <w:ind w:right="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(284,377 )</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right w:val="single" w:sz="8" w:color="CFF0FC"/>
            </w:tcBorders>
            <w:shd w:val="clear" w:color="auto" w:fill="CFF0FC"/>
          </w:tcPr>
          <w:p>
            <w:pPr>
              <w:jc w:val="right"/>
              <w:ind w:right="13"/>
              <w:spacing w:after="0"/>
              <w:rPr>
                <w:sz w:val="20"/>
                <w:szCs w:val="20"/>
                <w:color w:val="auto"/>
              </w:rPr>
            </w:pPr>
            <w:r>
              <w:rPr>
                <w:rFonts w:ascii="Arial" w:cs="Arial" w:eastAsia="Arial" w:hAnsi="Arial"/>
                <w:sz w:val="18"/>
                <w:szCs w:val="18"/>
                <w:color w:val="auto"/>
              </w:rPr>
              <w:t>39,339</w:t>
            </w:r>
          </w:p>
        </w:tc>
      </w:tr>
      <w:tr>
        <w:trPr>
          <w:trHeight w:val="264"/>
        </w:trPr>
        <w:tc>
          <w:tcPr>
            <w:tcW w:w="270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Stock-based compensation</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Borders>
              <w:top w:val="single" w:sz="8" w:color="CFF0FC"/>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192</w:t>
            </w:r>
          </w:p>
        </w:tc>
      </w:tr>
      <w:tr>
        <w:trPr>
          <w:trHeight w:val="270"/>
        </w:trPr>
        <w:tc>
          <w:tcPr>
            <w:tcW w:w="2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(loss) attributable to P10</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3"/>
                <w:szCs w:val="23"/>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23"/>
                <w:szCs w:val="23"/>
                <w:color w:val="auto"/>
              </w:rPr>
            </w:pPr>
          </w:p>
        </w:tc>
        <w:tc>
          <w:tcPr>
            <w:tcW w:w="140" w:type="dxa"/>
            <w:vAlign w:val="bottom"/>
            <w:shd w:val="clear" w:color="auto" w:fill="CFF0FC"/>
          </w:tcPr>
          <w:p>
            <w:pPr>
              <w:spacing w:after="0"/>
              <w:rPr>
                <w:sz w:val="23"/>
                <w:szCs w:val="23"/>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right w:val="single" w:sz="8" w:color="CFF0FC"/>
            </w:tcBorders>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(88 )</w:t>
            </w:r>
          </w:p>
        </w:tc>
        <w:tc>
          <w:tcPr>
            <w:tcW w:w="200" w:type="dxa"/>
            <w:vAlign w:val="bottom"/>
            <w:shd w:val="clear" w:color="auto" w:fill="CFF0FC"/>
          </w:tcPr>
          <w:p>
            <w:pPr>
              <w:spacing w:after="0"/>
              <w:rPr>
                <w:sz w:val="23"/>
                <w:szCs w:val="23"/>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(88 )</w:t>
            </w:r>
          </w:p>
        </w:tc>
      </w:tr>
      <w:tr>
        <w:trPr>
          <w:trHeight w:val="20"/>
        </w:trPr>
        <w:tc>
          <w:tcPr>
            <w:tcW w:w="27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tcBorders>
              <w:right w:val="single" w:sz="8" w:color="CFF0FC"/>
            </w:tcBorders>
            <w:shd w:val="clear" w:color="auto" w:fill="000000"/>
          </w:tcPr>
          <w:p>
            <w:pPr>
              <w:spacing w:after="0" w:line="20" w:lineRule="exact"/>
              <w:rPr>
                <w:sz w:val="1"/>
                <w:szCs w:val="1"/>
                <w:color w:val="auto"/>
              </w:rPr>
            </w:pPr>
          </w:p>
        </w:tc>
      </w:tr>
      <w:tr>
        <w:trPr>
          <w:trHeight w:val="257"/>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1040" w:type="dxa"/>
            <w:vAlign w:val="bottom"/>
          </w:tcPr>
          <w:p>
            <w:pPr>
              <w:jc w:val="right"/>
              <w:spacing w:after="0"/>
              <w:rPr>
                <w:sz w:val="20"/>
                <w:szCs w:val="20"/>
                <w:color w:val="auto"/>
              </w:rPr>
            </w:pPr>
            <w:r>
              <w:rPr>
                <w:rFonts w:ascii="Arial" w:cs="Arial" w:eastAsia="Arial" w:hAnsi="Arial"/>
                <w:sz w:val="18"/>
                <w:szCs w:val="18"/>
                <w:color w:val="auto"/>
              </w:rPr>
              <w:t>62,464</w:t>
            </w:r>
          </w:p>
        </w:tc>
        <w:tc>
          <w:tcPr>
            <w:tcW w:w="22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(273 )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324,118</w:t>
            </w:r>
          </w:p>
        </w:tc>
        <w:tc>
          <w:tcPr>
            <w:tcW w:w="3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(284,465 )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39,443</w:t>
            </w:r>
          </w:p>
        </w:tc>
      </w:tr>
      <w:tr>
        <w:trPr>
          <w:trHeight w:val="20"/>
        </w:trPr>
        <w:tc>
          <w:tcPr>
            <w:tcW w:w="2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400"/>
        </w:trPr>
        <w:tc>
          <w:tcPr>
            <w:tcW w:w="2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Total</w:t>
            </w:r>
          </w:p>
        </w:tc>
      </w:tr>
      <w:tr>
        <w:trPr>
          <w:trHeight w:val="215"/>
        </w:trPr>
        <w:tc>
          <w:tcPr>
            <w:tcW w:w="2700" w:type="dxa"/>
            <w:vAlign w:val="bottom"/>
          </w:tcPr>
          <w:p>
            <w:pPr>
              <w:spacing w:after="0"/>
              <w:rPr>
                <w:sz w:val="18"/>
                <w:szCs w:val="18"/>
                <w:color w:val="auto"/>
              </w:rPr>
            </w:pPr>
          </w:p>
        </w:tc>
        <w:tc>
          <w:tcPr>
            <w:tcW w:w="2320" w:type="dxa"/>
            <w:vAlign w:val="bottom"/>
            <w:tcBorders>
              <w:bottom w:val="single" w:sz="8" w:color="auto"/>
            </w:tcBorders>
            <w:gridSpan w:val="4"/>
          </w:tcPr>
          <w:p>
            <w:pPr>
              <w:jc w:val="right"/>
              <w:ind w:right="612"/>
              <w:spacing w:after="0"/>
              <w:rPr>
                <w:sz w:val="20"/>
                <w:szCs w:val="20"/>
                <w:color w:val="auto"/>
              </w:rPr>
            </w:pPr>
            <w:r>
              <w:rPr>
                <w:rFonts w:ascii="Arial" w:cs="Arial" w:eastAsia="Arial" w:hAnsi="Arial"/>
                <w:sz w:val="14"/>
                <w:szCs w:val="14"/>
                <w:b w:val="1"/>
                <w:bCs w:val="1"/>
                <w:color w:val="auto"/>
              </w:rPr>
              <w:t>Common Stock</w:t>
            </w:r>
          </w:p>
        </w:tc>
        <w:tc>
          <w:tcPr>
            <w:tcW w:w="220" w:type="dxa"/>
            <w:vAlign w:val="bottom"/>
          </w:tcPr>
          <w:p>
            <w:pPr>
              <w:spacing w:after="0"/>
              <w:rPr>
                <w:sz w:val="18"/>
                <w:szCs w:val="18"/>
                <w:color w:val="auto"/>
              </w:rPr>
            </w:pPr>
          </w:p>
        </w:tc>
        <w:tc>
          <w:tcPr>
            <w:tcW w:w="226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Treasury stock</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center"/>
              <w:ind w:right="72"/>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8"/>
                <w:szCs w:val="18"/>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r>
      <w:tr>
        <w:trPr>
          <w:trHeight w:val="190"/>
        </w:trPr>
        <w:tc>
          <w:tcPr>
            <w:tcW w:w="2700" w:type="dxa"/>
            <w:vAlign w:val="bottom"/>
          </w:tcPr>
          <w:p>
            <w:pPr>
              <w:spacing w:after="0"/>
              <w:rPr>
                <w:sz w:val="16"/>
                <w:szCs w:val="16"/>
                <w:color w:val="auto"/>
              </w:rPr>
            </w:pPr>
          </w:p>
        </w:tc>
        <w:tc>
          <w:tcPr>
            <w:tcW w:w="10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Units</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06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Units</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Paid-in-capital</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152"/>
              <w:spacing w:after="0"/>
              <w:rPr>
                <w:sz w:val="20"/>
                <w:szCs w:val="20"/>
                <w:color w:val="auto"/>
              </w:rPr>
            </w:pPr>
            <w:r>
              <w:rPr>
                <w:rFonts w:ascii="Arial" w:cs="Arial" w:eastAsia="Arial" w:hAnsi="Arial"/>
                <w:sz w:val="14"/>
                <w:szCs w:val="14"/>
                <w:b w:val="1"/>
                <w:bCs w:val="1"/>
                <w:color w:val="auto"/>
                <w:w w:val="93"/>
              </w:rPr>
              <w:t>Deficit</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193"/>
              <w:spacing w:after="0"/>
              <w:rPr>
                <w:sz w:val="20"/>
                <w:szCs w:val="20"/>
                <w:color w:val="auto"/>
              </w:rPr>
            </w:pPr>
            <w:r>
              <w:rPr>
                <w:rFonts w:ascii="Arial" w:cs="Arial" w:eastAsia="Arial" w:hAnsi="Arial"/>
                <w:sz w:val="14"/>
                <w:szCs w:val="14"/>
                <w:b w:val="1"/>
                <w:bCs w:val="1"/>
                <w:color w:val="auto"/>
                <w:w w:val="98"/>
              </w:rPr>
              <w:t>Equity</w:t>
            </w:r>
          </w:p>
        </w:tc>
      </w:tr>
      <w:tr>
        <w:trPr>
          <w:trHeight w:val="256"/>
        </w:trPr>
        <w:tc>
          <w:tcPr>
            <w:tcW w:w="2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62,464</w:t>
            </w:r>
          </w:p>
        </w:tc>
        <w:tc>
          <w:tcPr>
            <w:tcW w:w="42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8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(273 )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324,310</w:t>
            </w:r>
          </w:p>
        </w:tc>
        <w:tc>
          <w:tcPr>
            <w:tcW w:w="3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(264,259 )</w:t>
            </w: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59,841</w:t>
            </w:r>
          </w:p>
        </w:tc>
      </w:tr>
      <w:tr>
        <w:trPr>
          <w:trHeight w:val="277"/>
        </w:trPr>
        <w:tc>
          <w:tcPr>
            <w:tcW w:w="270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70"/>
        </w:trPr>
        <w:tc>
          <w:tcPr>
            <w:tcW w:w="2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income attributable to P10</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right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right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2,215</w:t>
            </w:r>
          </w:p>
        </w:tc>
        <w:tc>
          <w:tcPr>
            <w:tcW w:w="1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2,215</w:t>
            </w:r>
          </w:p>
        </w:tc>
      </w:tr>
      <w:tr>
        <w:trPr>
          <w:trHeight w:val="250"/>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2021</w:t>
            </w:r>
          </w:p>
        </w:tc>
        <w:tc>
          <w:tcPr>
            <w:tcW w:w="1040" w:type="dxa"/>
            <w:vAlign w:val="bottom"/>
          </w:tcPr>
          <w:p>
            <w:pPr>
              <w:jc w:val="right"/>
              <w:spacing w:after="0"/>
              <w:rPr>
                <w:sz w:val="20"/>
                <w:szCs w:val="20"/>
                <w:color w:val="auto"/>
              </w:rPr>
            </w:pPr>
            <w:r>
              <w:rPr>
                <w:rFonts w:ascii="Arial" w:cs="Arial" w:eastAsia="Arial" w:hAnsi="Arial"/>
                <w:sz w:val="18"/>
                <w:szCs w:val="18"/>
                <w:color w:val="auto"/>
              </w:rPr>
              <w:t>62,464</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(273 )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324,734</w:t>
            </w:r>
          </w:p>
        </w:tc>
        <w:tc>
          <w:tcPr>
            <w:tcW w:w="3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(262,044 )</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62,480</w:t>
            </w:r>
          </w:p>
        </w:tc>
      </w:tr>
      <w:tr>
        <w:trPr>
          <w:trHeight w:val="20"/>
        </w:trPr>
        <w:tc>
          <w:tcPr>
            <w:tcW w:w="2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2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Stock-based compensation</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3"/>
                <w:szCs w:val="23"/>
                <w:color w:val="auto"/>
              </w:rPr>
            </w:pPr>
          </w:p>
        </w:tc>
        <w:tc>
          <w:tcPr>
            <w:tcW w:w="200" w:type="dxa"/>
            <w:vAlign w:val="bottom"/>
            <w:shd w:val="clear" w:color="auto" w:fill="CFF0FC"/>
          </w:tcPr>
          <w:p>
            <w:pPr>
              <w:spacing w:after="0"/>
              <w:rPr>
                <w:sz w:val="23"/>
                <w:szCs w:val="23"/>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3"/>
                <w:szCs w:val="23"/>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0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3"/>
                <w:szCs w:val="23"/>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200" w:type="dxa"/>
            <w:vAlign w:val="bottom"/>
            <w:tcBorders>
              <w:right w:val="single" w:sz="8" w:color="CFF0FC"/>
            </w:tcBorders>
            <w:shd w:val="clear" w:color="auto" w:fill="CFF0FC"/>
          </w:tcPr>
          <w:p>
            <w:pPr>
              <w:spacing w:after="0"/>
              <w:rPr>
                <w:sz w:val="23"/>
                <w:szCs w:val="23"/>
                <w:color w:val="auto"/>
              </w:rPr>
            </w:pPr>
          </w:p>
        </w:tc>
        <w:tc>
          <w:tcPr>
            <w:tcW w:w="180" w:type="dxa"/>
            <w:vAlign w:val="bottom"/>
            <w:shd w:val="clear" w:color="auto" w:fill="CFF0FC"/>
          </w:tcPr>
          <w:p>
            <w:pPr>
              <w:spacing w:after="0"/>
              <w:rPr>
                <w:sz w:val="23"/>
                <w:szCs w:val="23"/>
                <w:color w:val="auto"/>
              </w:rPr>
            </w:pP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3"/>
                <w:szCs w:val="23"/>
                <w:color w:val="auto"/>
              </w:rPr>
            </w:pP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567</w:t>
            </w:r>
          </w:p>
        </w:tc>
      </w:tr>
      <w:tr>
        <w:trPr>
          <w:trHeight w:val="263"/>
        </w:trPr>
        <w:tc>
          <w:tcPr>
            <w:tcW w:w="2700" w:type="dxa"/>
            <w:vAlign w:val="bottom"/>
          </w:tcPr>
          <w:p>
            <w:pPr>
              <w:ind w:left="200"/>
              <w:spacing w:after="0"/>
              <w:rPr>
                <w:sz w:val="20"/>
                <w:szCs w:val="20"/>
                <w:color w:val="auto"/>
              </w:rPr>
            </w:pPr>
            <w:r>
              <w:rPr>
                <w:rFonts w:ascii="Arial" w:cs="Arial" w:eastAsia="Arial" w:hAnsi="Arial"/>
                <w:sz w:val="18"/>
                <w:szCs w:val="18"/>
                <w:color w:val="auto"/>
              </w:rPr>
              <w:t>Net income attributable to P10</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w:t>
            </w:r>
          </w:p>
        </w:tc>
      </w:tr>
      <w:tr>
        <w:trPr>
          <w:trHeight w:val="290"/>
        </w:trPr>
        <w:tc>
          <w:tcPr>
            <w:tcW w:w="2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62,464</w:t>
            </w:r>
          </w:p>
        </w:tc>
        <w:tc>
          <w:tcPr>
            <w:tcW w:w="22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24"/>
                <w:szCs w:val="24"/>
                <w:color w:val="auto"/>
              </w:rPr>
            </w:pPr>
          </w:p>
        </w:tc>
        <w:tc>
          <w:tcPr>
            <w:tcW w:w="10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18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(273 )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325,301</w:t>
            </w:r>
          </w:p>
        </w:tc>
        <w:tc>
          <w:tcPr>
            <w:tcW w:w="38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(260,066 )</w:t>
            </w:r>
          </w:p>
        </w:tc>
        <w:tc>
          <w:tcPr>
            <w:tcW w:w="20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65,025</w:t>
            </w:r>
          </w:p>
        </w:tc>
      </w:tr>
      <w:tr>
        <w:trPr>
          <w:trHeight w:val="264"/>
        </w:trPr>
        <w:tc>
          <w:tcPr>
            <w:tcW w:w="270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Stock-based compensation</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rPr>
                <w:sz w:val="22"/>
                <w:szCs w:val="22"/>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200" w:type="dxa"/>
            <w:vAlign w:val="bottom"/>
            <w:tcBorders>
              <w:top w:val="single" w:sz="8" w:color="CFF0FC"/>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w:t>
            </w:r>
          </w:p>
        </w:tc>
      </w:tr>
      <w:tr>
        <w:trPr>
          <w:trHeight w:val="270"/>
        </w:trPr>
        <w:tc>
          <w:tcPr>
            <w:tcW w:w="27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Net income attributable to P10</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right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3"/>
                <w:szCs w:val="23"/>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right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spacing w:after="0"/>
              <w:rPr>
                <w:sz w:val="23"/>
                <w:szCs w:val="23"/>
                <w:color w:val="auto"/>
              </w:rPr>
            </w:pPr>
          </w:p>
        </w:tc>
        <w:tc>
          <w:tcPr>
            <w:tcW w:w="8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3,584</w:t>
            </w:r>
          </w:p>
        </w:tc>
        <w:tc>
          <w:tcPr>
            <w:tcW w:w="180" w:type="dxa"/>
            <w:vAlign w:val="bottom"/>
            <w:tcBorders>
              <w:bottom w:val="single" w:sz="8" w:color="CFF0FC"/>
            </w:tcBorders>
            <w:shd w:val="clear" w:color="auto" w:fill="CFF0FC"/>
          </w:tcPr>
          <w:p>
            <w:pPr>
              <w:spacing w:after="0"/>
              <w:rPr>
                <w:sz w:val="23"/>
                <w:szCs w:val="23"/>
                <w:color w:val="auto"/>
              </w:rPr>
            </w:pPr>
          </w:p>
        </w:tc>
        <w:tc>
          <w:tcPr>
            <w:tcW w:w="200" w:type="dxa"/>
            <w:vAlign w:val="bottom"/>
            <w:tcBorders>
              <w:bottom w:val="single" w:sz="8" w:color="auto"/>
            </w:tcBorders>
            <w:shd w:val="clear" w:color="auto" w:fill="CFF0FC"/>
          </w:tcPr>
          <w:p>
            <w:pPr>
              <w:spacing w:after="0"/>
              <w:rPr>
                <w:sz w:val="23"/>
                <w:szCs w:val="23"/>
                <w:color w:val="auto"/>
              </w:rPr>
            </w:pPr>
          </w:p>
        </w:tc>
        <w:tc>
          <w:tcPr>
            <w:tcW w:w="9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3,584</w:t>
            </w:r>
          </w:p>
        </w:tc>
      </w:tr>
      <w:tr>
        <w:trPr>
          <w:trHeight w:val="250"/>
        </w:trPr>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2021</w:t>
            </w:r>
          </w:p>
        </w:tc>
        <w:tc>
          <w:tcPr>
            <w:tcW w:w="1040" w:type="dxa"/>
            <w:vAlign w:val="bottom"/>
          </w:tcPr>
          <w:p>
            <w:pPr>
              <w:jc w:val="right"/>
              <w:spacing w:after="0"/>
              <w:rPr>
                <w:sz w:val="20"/>
                <w:szCs w:val="20"/>
                <w:color w:val="auto"/>
              </w:rPr>
            </w:pPr>
            <w:r>
              <w:rPr>
                <w:rFonts w:ascii="Arial" w:cs="Arial" w:eastAsia="Arial" w:hAnsi="Arial"/>
                <w:sz w:val="18"/>
                <w:szCs w:val="18"/>
                <w:color w:val="auto"/>
              </w:rPr>
              <w:t>62,464</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w:t>
            </w: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(273 )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325,762</w:t>
            </w:r>
          </w:p>
        </w:tc>
        <w:tc>
          <w:tcPr>
            <w:tcW w:w="38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(256,482 )</w:t>
            </w:r>
          </w:p>
        </w:tc>
        <w:tc>
          <w:tcPr>
            <w:tcW w:w="200" w:type="dxa"/>
            <w:vAlign w:val="bottom"/>
          </w:tcPr>
          <w:p>
            <w:pPr>
              <w:jc w:val="right"/>
              <w:ind w:right="14"/>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69,070</w:t>
            </w:r>
          </w:p>
        </w:tc>
      </w:tr>
      <w:tr>
        <w:trPr>
          <w:trHeight w:val="20"/>
        </w:trPr>
        <w:tc>
          <w:tcPr>
            <w:tcW w:w="27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393"/>
        </w:trPr>
        <w:tc>
          <w:tcPr>
            <w:tcW w:w="2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gridSpan w:val="2"/>
          </w:tcPr>
          <w:p>
            <w:pPr>
              <w:jc w:val="right"/>
              <w:ind w:right="553"/>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2379345</wp:posOffset>
            </wp:positionH>
            <wp:positionV relativeFrom="paragraph">
              <wp:posOffset>-3906520</wp:posOffset>
            </wp:positionV>
            <wp:extent cx="13716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-3906520</wp:posOffset>
            </wp:positionV>
            <wp:extent cx="13716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-3906520</wp:posOffset>
            </wp:positionV>
            <wp:extent cx="12001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-3906520</wp:posOffset>
            </wp:positionV>
            <wp:extent cx="12890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-3906520</wp:posOffset>
            </wp:positionV>
            <wp:extent cx="12001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-3906520</wp:posOffset>
            </wp:positionV>
            <wp:extent cx="12890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-3906520</wp:posOffset>
            </wp:positionV>
            <wp:extent cx="5143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-3188970</wp:posOffset>
            </wp:positionV>
            <wp:extent cx="137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-3171825</wp:posOffset>
            </wp:positionV>
            <wp:extent cx="13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-3188970</wp:posOffset>
            </wp:positionV>
            <wp:extent cx="137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3194050</wp:posOffset>
            </wp:positionH>
            <wp:positionV relativeFrom="paragraph">
              <wp:posOffset>-3171825</wp:posOffset>
            </wp:positionV>
            <wp:extent cx="137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-3188970</wp:posOffset>
            </wp:positionV>
            <wp:extent cx="12001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-3171825</wp:posOffset>
            </wp:positionV>
            <wp:extent cx="12001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-3188970</wp:posOffset>
            </wp:positionV>
            <wp:extent cx="1289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-3171825</wp:posOffset>
            </wp:positionV>
            <wp:extent cx="12890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-3188970</wp:posOffset>
            </wp:positionV>
            <wp:extent cx="1200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-3171825</wp:posOffset>
            </wp:positionV>
            <wp:extent cx="1200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-3188970</wp:posOffset>
            </wp:positionV>
            <wp:extent cx="12890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-3171825</wp:posOffset>
            </wp:positionV>
            <wp:extent cx="12890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-3188970</wp:posOffset>
            </wp:positionV>
            <wp:extent cx="514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-3171825</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-2809240</wp:posOffset>
            </wp:positionV>
            <wp:extent cx="4757420" cy="1943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757420" cy="19431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-1548765</wp:posOffset>
            </wp:positionV>
            <wp:extent cx="13716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-1548765</wp:posOffset>
            </wp:positionV>
            <wp:extent cx="13716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-1548765</wp:posOffset>
            </wp:positionV>
            <wp:extent cx="120015"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-1548765</wp:posOffset>
            </wp:positionV>
            <wp:extent cx="12890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-1548765</wp:posOffset>
            </wp:positionV>
            <wp:extent cx="120015"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-1548765</wp:posOffset>
            </wp:positionV>
            <wp:extent cx="128905"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-1548765</wp:posOffset>
            </wp:positionV>
            <wp:extent cx="431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-831850</wp:posOffset>
            </wp:positionV>
            <wp:extent cx="137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-814705</wp:posOffset>
            </wp:positionV>
            <wp:extent cx="1371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-831850</wp:posOffset>
            </wp:positionV>
            <wp:extent cx="137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-814705</wp:posOffset>
            </wp:positionV>
            <wp:extent cx="137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-831850</wp:posOffset>
            </wp:positionV>
            <wp:extent cx="12001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-814705</wp:posOffset>
            </wp:positionV>
            <wp:extent cx="12001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-831850</wp:posOffset>
            </wp:positionV>
            <wp:extent cx="12890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-814705</wp:posOffset>
            </wp:positionV>
            <wp:extent cx="12890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-831850</wp:posOffset>
            </wp:positionV>
            <wp:extent cx="1594485" cy="2057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94485" cy="205740"/>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-451485</wp:posOffset>
            </wp:positionV>
            <wp:extent cx="13716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-451485</wp:posOffset>
            </wp:positionV>
            <wp:extent cx="13716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-451485</wp:posOffset>
            </wp:positionV>
            <wp:extent cx="12001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-451485</wp:posOffset>
            </wp:positionV>
            <wp:extent cx="12890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-451485</wp:posOffset>
            </wp:positionV>
            <wp:extent cx="12001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-451485</wp:posOffset>
            </wp:positionV>
            <wp:extent cx="12890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-451485</wp:posOffset>
            </wp:positionV>
            <wp:extent cx="4318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The 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0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2820" w:type="dxa"/>
            <w:vAlign w:val="bottom"/>
            <w:gridSpan w:val="4"/>
          </w:tcPr>
          <w:p>
            <w:pPr>
              <w:jc w:val="right"/>
              <w:ind w:right="156"/>
              <w:spacing w:after="0"/>
              <w:rPr>
                <w:sz w:val="20"/>
                <w:szCs w:val="20"/>
                <w:color w:val="auto"/>
              </w:rPr>
            </w:pPr>
            <w:r>
              <w:rPr>
                <w:rFonts w:ascii="Arial" w:cs="Arial" w:eastAsia="Arial" w:hAnsi="Arial"/>
                <w:sz w:val="14"/>
                <w:szCs w:val="14"/>
                <w:b w:val="1"/>
                <w:bCs w:val="1"/>
                <w:color w:val="auto"/>
              </w:rPr>
              <w:t>For the Nine Months Ended</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7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September 30,</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720" w:type="dxa"/>
            <w:vAlign w:val="bottom"/>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9,260</w:t>
            </w:r>
          </w:p>
        </w:tc>
        <w:tc>
          <w:tcPr>
            <w:tcW w:w="280" w:type="dxa"/>
            <w:vAlign w:val="bottom"/>
          </w:tcPr>
          <w:p>
            <w:pPr>
              <w:spacing w:after="0"/>
              <w:rPr>
                <w:sz w:val="21"/>
                <w:szCs w:val="21"/>
                <w:color w:val="auto"/>
              </w:rPr>
            </w:pPr>
          </w:p>
        </w:tc>
        <w:tc>
          <w:tcPr>
            <w:tcW w:w="960" w:type="dxa"/>
            <w:vAlign w:val="bottom"/>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72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activities: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72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1,452</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Non-cash incentive compensation</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w:t>
            </w: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720" w:type="dxa"/>
            <w:vAlign w:val="bottom"/>
          </w:tcPr>
          <w:p>
            <w:pPr>
              <w:ind w:left="380"/>
              <w:spacing w:after="0"/>
              <w:rPr>
                <w:sz w:val="20"/>
                <w:szCs w:val="20"/>
                <w:color w:val="auto"/>
              </w:rPr>
            </w:pPr>
            <w:r>
              <w:rPr>
                <w:rFonts w:ascii="Arial" w:cs="Arial" w:eastAsia="Arial" w:hAnsi="Arial"/>
                <w:sz w:val="18"/>
                <w:szCs w:val="18"/>
                <w:color w:val="auto"/>
              </w:rPr>
              <w:t>Depreciation expense</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202</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intangibles</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22,452</w:t>
            </w: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20" w:type="dxa"/>
            <w:vAlign w:val="bottom"/>
          </w:tcPr>
          <w:p>
            <w:pPr>
              <w:ind w:left="380"/>
              <w:spacing w:after="0"/>
              <w:rPr>
                <w:sz w:val="20"/>
                <w:szCs w:val="20"/>
                <w:color w:val="auto"/>
              </w:rPr>
            </w:pPr>
            <w:r>
              <w:rPr>
                <w:rFonts w:ascii="Arial" w:cs="Arial" w:eastAsia="Arial" w:hAnsi="Arial"/>
                <w:sz w:val="18"/>
                <w:szCs w:val="18"/>
                <w:color w:val="auto"/>
              </w:rPr>
              <w:t>Amortization of debt issuance costs and debt discount</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2,798</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1,315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Income from unconsolidated subsidiaries</w:t>
            </w:r>
          </w:p>
        </w:tc>
        <w:tc>
          <w:tcPr>
            <w:tcW w:w="98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(781 )</w:t>
            </w:r>
          </w:p>
        </w:tc>
        <w:tc>
          <w:tcPr>
            <w:tcW w:w="96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720" w:type="dxa"/>
            <w:vAlign w:val="bottom"/>
          </w:tcPr>
          <w:p>
            <w:pPr>
              <w:ind w:left="380"/>
              <w:spacing w:after="0"/>
              <w:rPr>
                <w:sz w:val="20"/>
                <w:szCs w:val="20"/>
                <w:color w:val="auto"/>
              </w:rPr>
            </w:pPr>
            <w:r>
              <w:rPr>
                <w:rFonts w:ascii="Arial" w:cs="Arial" w:eastAsia="Arial" w:hAnsi="Arial"/>
                <w:sz w:val="18"/>
                <w:szCs w:val="18"/>
                <w:color w:val="auto"/>
              </w:rPr>
              <w:t>Expense/(benefit) for deferred tax</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2,127</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(3,213 )</w:t>
            </w: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 in operating assets and liabilities:</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20" w:type="dxa"/>
            <w:vAlign w:val="bottom"/>
          </w:tcPr>
          <w:p>
            <w:pPr>
              <w:ind w:left="560"/>
              <w:spacing w:after="0"/>
              <w:rPr>
                <w:sz w:val="20"/>
                <w:szCs w:val="20"/>
                <w:color w:val="auto"/>
              </w:rPr>
            </w:pPr>
            <w:r>
              <w:rPr>
                <w:rFonts w:ascii="Arial" w:cs="Arial" w:eastAsia="Arial" w:hAnsi="Arial"/>
                <w:sz w:val="18"/>
                <w:szCs w:val="18"/>
                <w:color w:val="auto"/>
              </w:rPr>
              <w:t>Accounts receivable</w:t>
            </w:r>
          </w:p>
        </w:tc>
        <w:tc>
          <w:tcPr>
            <w:tcW w:w="9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(5,162 )</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Due from related parties</w:t>
            </w:r>
          </w:p>
        </w:tc>
        <w:tc>
          <w:tcPr>
            <w:tcW w:w="98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(273 )</w:t>
            </w:r>
          </w:p>
        </w:tc>
        <w:tc>
          <w:tcPr>
            <w:tcW w:w="96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20" w:type="dxa"/>
            <w:vAlign w:val="bottom"/>
          </w:tcPr>
          <w:p>
            <w:pPr>
              <w:ind w:left="560"/>
              <w:spacing w:after="0"/>
              <w:rPr>
                <w:sz w:val="20"/>
                <w:szCs w:val="20"/>
                <w:color w:val="auto"/>
              </w:rPr>
            </w:pPr>
            <w:r>
              <w:rPr>
                <w:rFonts w:ascii="Arial" w:cs="Arial" w:eastAsia="Arial" w:hAnsi="Arial"/>
                <w:sz w:val="18"/>
                <w:szCs w:val="18"/>
                <w:color w:val="auto"/>
              </w:rPr>
              <w:t>Prepaid expenses and other assets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(797 )</w:t>
            </w: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Right-of-use assets</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w:t>
            </w: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20" w:type="dxa"/>
            <w:vAlign w:val="bottom"/>
          </w:tcPr>
          <w:p>
            <w:pPr>
              <w:ind w:left="560"/>
              <w:spacing w:after="0"/>
              <w:rPr>
                <w:sz w:val="20"/>
                <w:szCs w:val="20"/>
                <w:color w:val="auto"/>
              </w:rPr>
            </w:pPr>
            <w:r>
              <w:rPr>
                <w:rFonts w:ascii="Arial" w:cs="Arial" w:eastAsia="Arial" w:hAnsi="Arial"/>
                <w:sz w:val="18"/>
                <w:szCs w:val="18"/>
                <w:color w:val="auto"/>
              </w:rPr>
              <w:t>Accounts payable</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157</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Accrued expenses</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20" w:type="dxa"/>
            <w:vAlign w:val="bottom"/>
          </w:tcPr>
          <w:p>
            <w:pPr>
              <w:ind w:left="560"/>
              <w:spacing w:after="0"/>
              <w:rPr>
                <w:sz w:val="20"/>
                <w:szCs w:val="20"/>
                <w:color w:val="auto"/>
              </w:rPr>
            </w:pPr>
            <w:r>
              <w:rPr>
                <w:rFonts w:ascii="Arial" w:cs="Arial" w:eastAsia="Arial" w:hAnsi="Arial"/>
                <w:sz w:val="18"/>
                <w:szCs w:val="18"/>
                <w:color w:val="auto"/>
              </w:rPr>
              <w:t>Due to related parties</w:t>
            </w:r>
          </w:p>
        </w:tc>
        <w:tc>
          <w:tcPr>
            <w:tcW w:w="9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(550 )</w:t>
            </w:r>
          </w:p>
        </w:tc>
        <w:tc>
          <w:tcPr>
            <w:tcW w:w="96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Other liabilities</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6,165</w:t>
            </w: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50"/>
        </w:trPr>
        <w:tc>
          <w:tcPr>
            <w:tcW w:w="7720" w:type="dxa"/>
            <w:vAlign w:val="bottom"/>
          </w:tcPr>
          <w:p>
            <w:pPr>
              <w:ind w:left="560"/>
              <w:spacing w:after="0"/>
              <w:rPr>
                <w:sz w:val="20"/>
                <w:szCs w:val="20"/>
                <w:color w:val="auto"/>
              </w:rPr>
            </w:pPr>
            <w:r>
              <w:rPr>
                <w:rFonts w:ascii="Arial" w:cs="Arial" w:eastAsia="Arial" w:hAnsi="Arial"/>
                <w:sz w:val="18"/>
                <w:szCs w:val="18"/>
                <w:color w:val="auto"/>
              </w:rPr>
              <w:t>Deferred revenues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1,455</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720" w:type="dxa"/>
            <w:vAlign w:val="bottom"/>
            <w:shd w:val="clear" w:color="auto" w:fill="CFF0FC"/>
          </w:tcPr>
          <w:p>
            <w:pPr>
              <w:ind w:left="560"/>
              <w:spacing w:after="0"/>
              <w:rPr>
                <w:sz w:val="20"/>
                <w:szCs w:val="20"/>
                <w:color w:val="auto"/>
              </w:rPr>
            </w:pPr>
            <w:r>
              <w:rPr>
                <w:rFonts w:ascii="Arial" w:cs="Arial" w:eastAsia="Arial" w:hAnsi="Arial"/>
                <w:sz w:val="18"/>
                <w:szCs w:val="18"/>
                <w:color w:val="auto"/>
              </w:rPr>
              <w:t>Lease liabilities</w:t>
            </w:r>
          </w:p>
        </w:tc>
        <w:tc>
          <w:tcPr>
            <w:tcW w:w="98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(1,379 )</w:t>
            </w:r>
          </w:p>
        </w:tc>
        <w:tc>
          <w:tcPr>
            <w:tcW w:w="96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(949 )</w:t>
            </w:r>
          </w:p>
        </w:tc>
        <w:tc>
          <w:tcPr>
            <w:tcW w:w="0" w:type="dxa"/>
            <w:vAlign w:val="bottom"/>
          </w:tcPr>
          <w:p>
            <w:pPr>
              <w:spacing w:after="0"/>
              <w:rPr>
                <w:sz w:val="1"/>
                <w:szCs w:val="1"/>
                <w:color w:val="auto"/>
              </w:rPr>
            </w:pPr>
          </w:p>
        </w:tc>
      </w:tr>
      <w:tr>
        <w:trPr>
          <w:trHeight w:val="250"/>
        </w:trPr>
        <w:tc>
          <w:tcPr>
            <w:tcW w:w="7720" w:type="dxa"/>
            <w:vAlign w:val="bottom"/>
            <w:tcBorders>
              <w:top w:val="single" w:sz="8" w:color="CFF0FC"/>
            </w:tcBorders>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40,704</w:t>
            </w:r>
          </w:p>
        </w:tc>
        <w:tc>
          <w:tcPr>
            <w:tcW w:w="280" w:type="dxa"/>
            <w:vAlign w:val="bottom"/>
            <w:tcBorders>
              <w:top w:val="single" w:sz="8" w:color="CFF0FC"/>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16,292</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2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9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(43,926 )</w:t>
            </w:r>
          </w:p>
        </w:tc>
        <w:tc>
          <w:tcPr>
            <w:tcW w:w="96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(46,640 )</w:t>
            </w: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of contingent consideration</w:t>
            </w:r>
          </w:p>
        </w:tc>
        <w:tc>
          <w:tcPr>
            <w:tcW w:w="98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(518 )</w:t>
            </w:r>
          </w:p>
        </w:tc>
        <w:tc>
          <w:tcPr>
            <w:tcW w:w="96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720" w:type="dxa"/>
            <w:vAlign w:val="bottom"/>
          </w:tcPr>
          <w:p>
            <w:pPr>
              <w:ind w:left="200"/>
              <w:spacing w:after="0"/>
              <w:rPr>
                <w:sz w:val="20"/>
                <w:szCs w:val="20"/>
                <w:color w:val="auto"/>
              </w:rPr>
            </w:pPr>
            <w:r>
              <w:rPr>
                <w:rFonts w:ascii="Arial" w:cs="Arial" w:eastAsia="Arial" w:hAnsi="Arial"/>
                <w:sz w:val="18"/>
                <w:szCs w:val="18"/>
                <w:color w:val="auto"/>
              </w:rPr>
              <w:t>Purchase of intangible assets</w:t>
            </w:r>
          </w:p>
        </w:tc>
        <w:tc>
          <w:tcPr>
            <w:tcW w:w="9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(30 )</w:t>
            </w:r>
          </w:p>
        </w:tc>
        <w:tc>
          <w:tcPr>
            <w:tcW w:w="96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Note receivable</w:t>
            </w:r>
          </w:p>
        </w:tc>
        <w:tc>
          <w:tcPr>
            <w:tcW w:w="98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(2,270 )</w:t>
            </w:r>
          </w:p>
        </w:tc>
        <w:tc>
          <w:tcPr>
            <w:tcW w:w="96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720" w:type="dxa"/>
            <w:vAlign w:val="bottom"/>
          </w:tcPr>
          <w:p>
            <w:pPr>
              <w:ind w:left="200"/>
              <w:spacing w:after="0"/>
              <w:rPr>
                <w:sz w:val="20"/>
                <w:szCs w:val="20"/>
                <w:color w:val="auto"/>
              </w:rPr>
            </w:pPr>
            <w:r>
              <w:rPr>
                <w:rFonts w:ascii="Arial" w:cs="Arial" w:eastAsia="Arial" w:hAnsi="Arial"/>
                <w:sz w:val="18"/>
                <w:szCs w:val="18"/>
                <w:color w:val="auto"/>
              </w:rPr>
              <w:t>Investments in unconsolidated subsidiaries</w:t>
            </w:r>
          </w:p>
        </w:tc>
        <w:tc>
          <w:tcPr>
            <w:tcW w:w="9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(2,638 )</w:t>
            </w:r>
          </w:p>
        </w:tc>
        <w:tc>
          <w:tcPr>
            <w:tcW w:w="96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Proceeds from investments in unconsolidated subsidiaries</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w:t>
            </w: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720" w:type="dxa"/>
            <w:vAlign w:val="bottom"/>
          </w:tcPr>
          <w:p>
            <w:pPr>
              <w:ind w:left="200"/>
              <w:spacing w:after="0"/>
              <w:rPr>
                <w:sz w:val="20"/>
                <w:szCs w:val="20"/>
                <w:color w:val="auto"/>
              </w:rPr>
            </w:pPr>
            <w:r>
              <w:rPr>
                <w:rFonts w:ascii="Arial" w:cs="Arial" w:eastAsia="Arial" w:hAnsi="Arial"/>
                <w:sz w:val="18"/>
                <w:szCs w:val="18"/>
                <w:color w:val="auto"/>
              </w:rPr>
              <w:t>Post-closing payments related to acquisitions</w:t>
            </w:r>
          </w:p>
        </w:tc>
        <w:tc>
          <w:tcPr>
            <w:tcW w:w="9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(1,519 )</w:t>
            </w:r>
          </w:p>
        </w:tc>
        <w:tc>
          <w:tcPr>
            <w:tcW w:w="96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57"/>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Purchases of property and equipment</w:t>
            </w:r>
          </w:p>
        </w:tc>
        <w:tc>
          <w:tcPr>
            <w:tcW w:w="98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(78 )</w:t>
            </w:r>
          </w:p>
        </w:tc>
        <w:tc>
          <w:tcPr>
            <w:tcW w:w="96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Pr>
          <w:p>
            <w:pPr>
              <w:ind w:left="74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(47,379 )</w:t>
            </w:r>
          </w:p>
        </w:tc>
        <w:tc>
          <w:tcPr>
            <w:tcW w:w="96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(46,779 )</w:t>
            </w: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720" w:type="dxa"/>
            <w:vAlign w:val="bottom"/>
          </w:tcPr>
          <w:p>
            <w:pPr>
              <w:ind w:left="200"/>
              <w:spacing w:after="0"/>
              <w:rPr>
                <w:sz w:val="20"/>
                <w:szCs w:val="20"/>
                <w:color w:val="auto"/>
              </w:rPr>
            </w:pPr>
            <w:r>
              <w:rPr>
                <w:rFonts w:ascii="Arial" w:cs="Arial" w:eastAsia="Arial" w:hAnsi="Arial"/>
                <w:sz w:val="18"/>
                <w:szCs w:val="18"/>
                <w:color w:val="auto"/>
              </w:rPr>
              <w:t>Issuance of redeemable noncontrolling interests</w:t>
            </w:r>
          </w:p>
        </w:tc>
        <w:tc>
          <w:tcPr>
            <w:tcW w:w="980" w:type="dxa"/>
            <w:vAlign w:val="bottom"/>
          </w:tcPr>
          <w:p>
            <w:pPr>
              <w:spacing w:after="0"/>
              <w:rPr>
                <w:sz w:val="21"/>
                <w:szCs w:val="21"/>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Borrowings on debt obligations</w:t>
            </w:r>
          </w:p>
        </w:tc>
        <w:tc>
          <w:tcPr>
            <w:tcW w:w="980" w:type="dxa"/>
            <w:vAlign w:val="bottom"/>
            <w:shd w:val="clear" w:color="auto" w:fill="CFF0FC"/>
          </w:tcPr>
          <w:p>
            <w:pPr>
              <w:spacing w:after="0"/>
              <w:rPr>
                <w:sz w:val="22"/>
                <w:szCs w:val="22"/>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35,952</w:t>
            </w:r>
          </w:p>
        </w:tc>
        <w:tc>
          <w:tcPr>
            <w:tcW w:w="28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720" w:type="dxa"/>
            <w:vAlign w:val="bottom"/>
          </w:tcPr>
          <w:p>
            <w:pPr>
              <w:ind w:left="200"/>
              <w:spacing w:after="0"/>
              <w:rPr>
                <w:sz w:val="20"/>
                <w:szCs w:val="20"/>
                <w:color w:val="auto"/>
              </w:rPr>
            </w:pPr>
            <w:r>
              <w:rPr>
                <w:rFonts w:ascii="Arial" w:cs="Arial" w:eastAsia="Arial" w:hAnsi="Arial"/>
                <w:sz w:val="18"/>
                <w:szCs w:val="18"/>
                <w:color w:val="auto"/>
              </w:rPr>
              <w:t>Repayments on debt obligations</w:t>
            </w:r>
          </w:p>
        </w:tc>
        <w:tc>
          <w:tcPr>
            <w:tcW w:w="9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(12,321 )</w:t>
            </w:r>
          </w:p>
        </w:tc>
        <w:tc>
          <w:tcPr>
            <w:tcW w:w="96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(2,582 )</w:t>
            </w:r>
          </w:p>
        </w:tc>
        <w:tc>
          <w:tcPr>
            <w:tcW w:w="0" w:type="dxa"/>
            <w:vAlign w:val="bottom"/>
          </w:tcPr>
          <w:p>
            <w:pPr>
              <w:spacing w:after="0"/>
              <w:rPr>
                <w:sz w:val="1"/>
                <w:szCs w:val="1"/>
                <w:color w:val="auto"/>
              </w:rPr>
            </w:pPr>
          </w:p>
        </w:tc>
      </w:tr>
      <w:tr>
        <w:trPr>
          <w:trHeight w:val="263"/>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 of preferred stock dividends</w:t>
            </w:r>
          </w:p>
        </w:tc>
        <w:tc>
          <w:tcPr>
            <w:tcW w:w="98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(720 )</w:t>
            </w:r>
          </w:p>
        </w:tc>
        <w:tc>
          <w:tcPr>
            <w:tcW w:w="960" w:type="dxa"/>
            <w:vAlign w:val="bottom"/>
            <w:shd w:val="clear" w:color="auto" w:fill="CFF0FC"/>
          </w:tcPr>
          <w:p>
            <w:pPr>
              <w:spacing w:after="0"/>
              <w:rPr>
                <w:sz w:val="22"/>
                <w:szCs w:val="22"/>
                <w:color w:val="auto"/>
              </w:rPr>
            </w:pPr>
          </w:p>
        </w:tc>
        <w:tc>
          <w:tcPr>
            <w:tcW w:w="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7720" w:type="dxa"/>
            <w:vAlign w:val="bottom"/>
          </w:tcPr>
          <w:p>
            <w:pPr>
              <w:ind w:left="200"/>
              <w:spacing w:after="0"/>
              <w:rPr>
                <w:sz w:val="20"/>
                <w:szCs w:val="20"/>
                <w:color w:val="auto"/>
              </w:rPr>
            </w:pPr>
            <w:r>
              <w:rPr>
                <w:rFonts w:ascii="Arial" w:cs="Arial" w:eastAsia="Arial" w:hAnsi="Arial"/>
                <w:sz w:val="18"/>
                <w:szCs w:val="18"/>
                <w:color w:val="auto"/>
              </w:rPr>
              <w:t>Debt issuance costs</w:t>
            </w:r>
          </w:p>
        </w:tc>
        <w:tc>
          <w:tcPr>
            <w:tcW w:w="98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(942 )</w:t>
            </w:r>
          </w:p>
        </w:tc>
        <w:tc>
          <w:tcPr>
            <w:tcW w:w="96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(470 )</w:t>
            </w:r>
          </w:p>
        </w:tc>
        <w:tc>
          <w:tcPr>
            <w:tcW w:w="0" w:type="dxa"/>
            <w:vAlign w:val="bottom"/>
          </w:tcPr>
          <w:p>
            <w:pPr>
              <w:spacing w:after="0"/>
              <w:rPr>
                <w:sz w:val="1"/>
                <w:szCs w:val="1"/>
                <w:color w:val="auto"/>
              </w:rPr>
            </w:pPr>
          </w:p>
        </w:tc>
      </w:tr>
      <w:tr>
        <w:trPr>
          <w:trHeight w:val="250"/>
        </w:trPr>
        <w:tc>
          <w:tcPr>
            <w:tcW w:w="77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tcBorders>
              <w:top w:val="single" w:sz="8" w:color="auto"/>
              <w:bottom w:val="single" w:sz="8" w:color="auto"/>
            </w:tcBorders>
            <w:shd w:val="clear" w:color="auto" w:fill="CFF0FC"/>
          </w:tcPr>
          <w:p>
            <w:pPr>
              <w:spacing w:after="0"/>
              <w:rPr>
                <w:sz w:val="21"/>
                <w:szCs w:val="2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21,969</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top w:val="single" w:sz="8" w:color="auto"/>
              <w:bottom w:val="single" w:sz="8" w:color="auto"/>
            </w:tcBorders>
            <w:shd w:val="clear" w:color="auto" w:fill="CFF0FC"/>
          </w:tcPr>
          <w:p>
            <w:pPr>
              <w:spacing w:after="0"/>
              <w:rPr>
                <w:sz w:val="21"/>
                <w:szCs w:val="21"/>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720" w:type="dxa"/>
            <w:vAlign w:val="bottom"/>
          </w:tcPr>
          <w:p>
            <w:pPr>
              <w:ind w:left="740"/>
              <w:spacing w:after="0"/>
              <w:rPr>
                <w:sz w:val="20"/>
                <w:szCs w:val="20"/>
                <w:color w:val="auto"/>
              </w:rPr>
            </w:pPr>
            <w:r>
              <w:rPr>
                <w:rFonts w:ascii="Arial" w:cs="Arial" w:eastAsia="Arial" w:hAnsi="Arial"/>
                <w:sz w:val="18"/>
                <w:szCs w:val="18"/>
                <w:color w:val="auto"/>
              </w:rPr>
              <w:t>Net change in cash, cash equivalents and restricted cash</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15,294</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(2,539 )</w:t>
            </w:r>
          </w:p>
        </w:tc>
        <w:tc>
          <w:tcPr>
            <w:tcW w:w="0" w:type="dxa"/>
            <w:vAlign w:val="bottom"/>
          </w:tcPr>
          <w:p>
            <w:pPr>
              <w:spacing w:after="0"/>
              <w:rPr>
                <w:sz w:val="1"/>
                <w:szCs w:val="1"/>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beginning</w:t>
            </w:r>
          </w:p>
        </w:tc>
        <w:tc>
          <w:tcPr>
            <w:tcW w:w="980" w:type="dxa"/>
            <w:vAlign w:val="bottom"/>
            <w:shd w:val="clear" w:color="auto" w:fill="CFF0FC"/>
          </w:tcPr>
          <w:p>
            <w:pPr>
              <w:spacing w:after="0"/>
              <w:rPr>
                <w:sz w:val="21"/>
                <w:szCs w:val="21"/>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12,783</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19,462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8"/>
                <w:szCs w:val="18"/>
                <w:b w:val="1"/>
                <w:bCs w:val="1"/>
                <w:color w:val="auto"/>
              </w:rPr>
              <w:t>of period</w:t>
            </w:r>
          </w:p>
        </w:tc>
        <w:tc>
          <w:tcPr>
            <w:tcW w:w="9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end of</w:t>
            </w:r>
          </w:p>
        </w:tc>
        <w:tc>
          <w:tcPr>
            <w:tcW w:w="980" w:type="dxa"/>
            <w:vAlign w:val="bottom"/>
            <w:vMerge w:val="restart"/>
          </w:tcPr>
          <w:p>
            <w:pPr>
              <w:jc w:val="right"/>
              <w:ind w:right="799"/>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28,077</w:t>
            </w:r>
          </w:p>
        </w:tc>
        <w:tc>
          <w:tcPr>
            <w:tcW w:w="280" w:type="dxa"/>
            <w:vAlign w:val="bottom"/>
          </w:tcPr>
          <w:p>
            <w:pPr>
              <w:spacing w:after="0"/>
              <w:rPr>
                <w:sz w:val="20"/>
                <w:szCs w:val="20"/>
                <w:color w:val="auto"/>
              </w:rPr>
            </w:pPr>
          </w:p>
        </w:tc>
        <w:tc>
          <w:tcPr>
            <w:tcW w:w="960" w:type="dxa"/>
            <w:vAlign w:val="bottom"/>
            <w:vMerge w:val="restart"/>
          </w:tcPr>
          <w:p>
            <w:pPr>
              <w:jc w:val="right"/>
              <w:ind w:right="776"/>
              <w:spacing w:after="0"/>
              <w:rPr>
                <w:sz w:val="20"/>
                <w:szCs w:val="20"/>
                <w:color w:val="auto"/>
              </w:rPr>
            </w:pPr>
            <w:r>
              <w:rPr>
                <w:rFonts w:ascii="Arial" w:cs="Arial" w:eastAsia="Arial" w:hAnsi="Arial"/>
                <w:sz w:val="18"/>
                <w:szCs w:val="18"/>
                <w:color w:val="auto"/>
                <w:w w:val="79"/>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16,923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7720" w:type="dxa"/>
            <w:vAlign w:val="bottom"/>
          </w:tcPr>
          <w:p>
            <w:pPr>
              <w:ind w:left="160"/>
              <w:spacing w:after="0"/>
              <w:rPr>
                <w:sz w:val="20"/>
                <w:szCs w:val="20"/>
                <w:color w:val="auto"/>
              </w:rPr>
            </w:pPr>
            <w:r>
              <w:rPr>
                <w:rFonts w:ascii="Arial" w:cs="Arial" w:eastAsia="Arial" w:hAnsi="Arial"/>
                <w:sz w:val="18"/>
                <w:szCs w:val="18"/>
                <w:b w:val="1"/>
                <w:bCs w:val="1"/>
                <w:color w:val="auto"/>
              </w:rPr>
              <w:t>period</w:t>
            </w:r>
          </w:p>
        </w:tc>
        <w:tc>
          <w:tcPr>
            <w:tcW w:w="98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-3742690</wp:posOffset>
            </wp:positionV>
            <wp:extent cx="17145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-3742690</wp:posOffset>
            </wp:positionV>
            <wp:extent cx="5969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-2105025</wp:posOffset>
            </wp:positionV>
            <wp:extent cx="17145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-2105025</wp:posOffset>
            </wp:positionV>
            <wp:extent cx="5969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-784860</wp:posOffset>
            </wp:positionV>
            <wp:extent cx="17145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-784860</wp:posOffset>
            </wp:positionV>
            <wp:extent cx="5969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-313690</wp:posOffset>
            </wp:positionV>
            <wp:extent cx="17145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-313690</wp:posOffset>
            </wp:positionV>
            <wp:extent cx="5969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The 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2880" w:type="dxa"/>
            <w:vAlign w:val="bottom"/>
            <w:gridSpan w:val="4"/>
          </w:tcPr>
          <w:p>
            <w:pPr>
              <w:jc w:val="right"/>
              <w:ind w:right="210"/>
              <w:spacing w:after="0"/>
              <w:rPr>
                <w:sz w:val="20"/>
                <w:szCs w:val="20"/>
                <w:color w:val="auto"/>
              </w:rPr>
            </w:pPr>
            <w:r>
              <w:rPr>
                <w:rFonts w:ascii="Arial" w:cs="Arial" w:eastAsia="Arial" w:hAnsi="Arial"/>
                <w:sz w:val="14"/>
                <w:szCs w:val="14"/>
                <w:b w:val="1"/>
                <w:bCs w:val="1"/>
                <w:color w:val="auto"/>
              </w:rPr>
              <w:t>For the Nine Months Ended</w:t>
            </w: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8"/>
        </w:trPr>
        <w:tc>
          <w:tcPr>
            <w:tcW w:w="77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77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5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20" w:type="dxa"/>
            <w:vAlign w:val="bottom"/>
            <w:tcBorders>
              <w:top w:val="single" w:sz="8" w:color="auto"/>
            </w:tcBorders>
            <w:shd w:val="clear" w:color="auto" w:fill="CFF0FC"/>
          </w:tcPr>
          <w:p>
            <w:pPr>
              <w:spacing w:after="0"/>
              <w:rPr>
                <w:sz w:val="22"/>
                <w:szCs w:val="22"/>
                <w:color w:val="auto"/>
              </w:rPr>
            </w:pPr>
          </w:p>
        </w:tc>
        <w:tc>
          <w:tcPr>
            <w:tcW w:w="58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00" w:type="dxa"/>
            <w:vAlign w:val="bottom"/>
            <w:tcBorders>
              <w:top w:val="single" w:sz="8" w:color="auto"/>
            </w:tcBorders>
            <w:shd w:val="clear" w:color="auto" w:fill="CFF0FC"/>
          </w:tcPr>
          <w:p>
            <w:pPr>
              <w:spacing w:after="0"/>
              <w:rPr>
                <w:sz w:val="22"/>
                <w:szCs w:val="22"/>
                <w:color w:val="auto"/>
              </w:rPr>
            </w:pPr>
          </w:p>
        </w:tc>
        <w:tc>
          <w:tcPr>
            <w:tcW w:w="580" w:type="dxa"/>
            <w:vAlign w:val="bottom"/>
            <w:tcBorders>
              <w:top w:val="single" w:sz="8" w:color="auto"/>
            </w:tcBorders>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50"/>
        </w:trPr>
        <w:tc>
          <w:tcPr>
            <w:tcW w:w="7720" w:type="dxa"/>
            <w:vAlign w:val="bottom"/>
          </w:tcPr>
          <w:p>
            <w:pPr>
              <w:ind w:left="200"/>
              <w:spacing w:after="0"/>
              <w:rPr>
                <w:sz w:val="20"/>
                <w:szCs w:val="20"/>
                <w:color w:val="auto"/>
              </w:rPr>
            </w:pPr>
            <w:r>
              <w:rPr>
                <w:rFonts w:ascii="Arial" w:cs="Arial" w:eastAsia="Arial" w:hAnsi="Arial"/>
                <w:sz w:val="18"/>
                <w:szCs w:val="18"/>
                <w:color w:val="auto"/>
              </w:rPr>
              <w:t>Cash paid for interest</w:t>
            </w:r>
          </w:p>
        </w:tc>
        <w:tc>
          <w:tcPr>
            <w:tcW w:w="1020" w:type="dxa"/>
            <w:vAlign w:val="bottom"/>
            <w:tcBorders>
              <w:bottom w:val="single" w:sz="8" w:color="auto"/>
            </w:tcBorders>
          </w:tcPr>
          <w:p>
            <w:pPr>
              <w:jc w:val="right"/>
              <w:ind w:right="83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13,712</w:t>
            </w:r>
          </w:p>
        </w:tc>
        <w:tc>
          <w:tcPr>
            <w:tcW w:w="280" w:type="dxa"/>
            <w:vAlign w:val="bottom"/>
          </w:tcPr>
          <w:p>
            <w:pPr>
              <w:spacing w:after="0"/>
              <w:rPr>
                <w:sz w:val="21"/>
                <w:szCs w:val="21"/>
                <w:color w:val="auto"/>
              </w:rPr>
            </w:pP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6,172</w:t>
            </w:r>
          </w:p>
        </w:tc>
        <w:tc>
          <w:tcPr>
            <w:tcW w:w="60" w:type="dxa"/>
            <w:vAlign w:val="bottom"/>
          </w:tcPr>
          <w:p>
            <w:pPr>
              <w:spacing w:after="0"/>
              <w:rPr>
                <w:sz w:val="21"/>
                <w:szCs w:val="21"/>
                <w:color w:val="auto"/>
              </w:rPr>
            </w:pPr>
          </w:p>
        </w:tc>
      </w:tr>
      <w:tr>
        <w:trPr>
          <w:trHeight w:val="20"/>
        </w:trPr>
        <w:tc>
          <w:tcPr>
            <w:tcW w:w="77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7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paid for income taxes</w:t>
            </w:r>
          </w:p>
        </w:tc>
        <w:tc>
          <w:tcPr>
            <w:tcW w:w="1020" w:type="dxa"/>
            <w:vAlign w:val="bottom"/>
            <w:shd w:val="clear" w:color="auto" w:fill="CFF0FC"/>
          </w:tcPr>
          <w:p>
            <w:pPr>
              <w:jc w:val="right"/>
              <w:ind w:right="835"/>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4,637</w:t>
            </w:r>
          </w:p>
        </w:tc>
        <w:tc>
          <w:tcPr>
            <w:tcW w:w="1280" w:type="dxa"/>
            <w:vAlign w:val="bottom"/>
            <w:gridSpan w:val="2"/>
            <w:shd w:val="clear" w:color="auto" w:fill="CFF0FC"/>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w:t>
            </w:r>
          </w:p>
        </w:tc>
        <w:tc>
          <w:tcPr>
            <w:tcW w:w="60" w:type="dxa"/>
            <w:vAlign w:val="bottom"/>
            <w:shd w:val="clear" w:color="auto" w:fill="CFF0FC"/>
          </w:tcPr>
          <w:p>
            <w:pPr>
              <w:spacing w:after="0"/>
              <w:rPr>
                <w:sz w:val="24"/>
                <w:szCs w:val="24"/>
                <w:color w:val="auto"/>
              </w:rPr>
            </w:pPr>
          </w:p>
        </w:tc>
      </w:tr>
      <w:tr>
        <w:trPr>
          <w:trHeight w:val="237"/>
        </w:trPr>
        <w:tc>
          <w:tcPr>
            <w:tcW w:w="77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NON-CASH OPERATING ACTIVITIES</w:t>
            </w:r>
          </w:p>
        </w:tc>
        <w:tc>
          <w:tcPr>
            <w:tcW w:w="10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r>
      <w:tr>
        <w:trPr>
          <w:trHeight w:val="297"/>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Additions to right-of-use assets</w:t>
            </w:r>
          </w:p>
        </w:tc>
        <w:tc>
          <w:tcPr>
            <w:tcW w:w="1020" w:type="dxa"/>
            <w:vAlign w:val="bottom"/>
            <w:tcBorders>
              <w:bottom w:val="single" w:sz="8" w:color="auto"/>
            </w:tcBorders>
            <w:shd w:val="clear" w:color="auto" w:fill="CFF0FC"/>
          </w:tcPr>
          <w:p>
            <w:pPr>
              <w:jc w:val="right"/>
              <w:ind w:right="835"/>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1,823</w:t>
            </w:r>
          </w:p>
        </w:tc>
        <w:tc>
          <w:tcPr>
            <w:tcW w:w="280" w:type="dxa"/>
            <w:vAlign w:val="bottom"/>
            <w:tcBorders>
              <w:bottom w:val="single" w:sz="8" w:color="CFF0FC"/>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24"/>
                <w:szCs w:val="24"/>
                <w:color w:val="auto"/>
              </w:rPr>
            </w:pPr>
          </w:p>
        </w:tc>
      </w:tr>
      <w:tr>
        <w:trPr>
          <w:trHeight w:val="237"/>
        </w:trPr>
        <w:tc>
          <w:tcPr>
            <w:tcW w:w="7720" w:type="dxa"/>
            <w:vAlign w:val="bottom"/>
          </w:tcPr>
          <w:p>
            <w:pPr>
              <w:ind w:left="200"/>
              <w:spacing w:after="0"/>
              <w:rPr>
                <w:sz w:val="20"/>
                <w:szCs w:val="20"/>
                <w:color w:val="auto"/>
              </w:rPr>
            </w:pPr>
            <w:r>
              <w:rPr>
                <w:rFonts w:ascii="Arial" w:cs="Arial" w:eastAsia="Arial" w:hAnsi="Arial"/>
                <w:sz w:val="18"/>
                <w:szCs w:val="18"/>
                <w:color w:val="auto"/>
              </w:rPr>
              <w:t>Additions to lease liabilities</w:t>
            </w:r>
          </w:p>
        </w:tc>
        <w:tc>
          <w:tcPr>
            <w:tcW w:w="1020" w:type="dxa"/>
            <w:vAlign w:val="bottom"/>
          </w:tcPr>
          <w:p>
            <w:pPr>
              <w:jc w:val="right"/>
              <w:ind w:right="835"/>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1,823</w:t>
            </w:r>
          </w:p>
        </w:tc>
        <w:tc>
          <w:tcPr>
            <w:tcW w:w="128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5"/>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RECONCILIATION OF CASH, CASH EQUIVALENTS AND</w:t>
            </w:r>
          </w:p>
        </w:tc>
        <w:tc>
          <w:tcPr>
            <w:tcW w:w="10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48"/>
        </w:trPr>
        <w:tc>
          <w:tcPr>
            <w:tcW w:w="772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RESTRICTED CASH</w:t>
            </w:r>
          </w:p>
        </w:tc>
        <w:tc>
          <w:tcPr>
            <w:tcW w:w="102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r>
      <w:tr>
        <w:trPr>
          <w:trHeight w:val="250"/>
        </w:trPr>
        <w:tc>
          <w:tcPr>
            <w:tcW w:w="77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1020" w:type="dxa"/>
            <w:vAlign w:val="bottom"/>
          </w:tcPr>
          <w:p>
            <w:pPr>
              <w:jc w:val="right"/>
              <w:ind w:right="835"/>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21,656</w:t>
            </w:r>
          </w:p>
        </w:tc>
        <w:tc>
          <w:tcPr>
            <w:tcW w:w="128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16,167</w:t>
            </w:r>
          </w:p>
        </w:tc>
        <w:tc>
          <w:tcPr>
            <w:tcW w:w="60" w:type="dxa"/>
            <w:vAlign w:val="bottom"/>
          </w:tcPr>
          <w:p>
            <w:pPr>
              <w:spacing w:after="0"/>
              <w:rPr>
                <w:sz w:val="21"/>
                <w:szCs w:val="21"/>
                <w:color w:val="auto"/>
              </w:rPr>
            </w:pPr>
          </w:p>
        </w:tc>
      </w:tr>
      <w:tr>
        <w:trPr>
          <w:trHeight w:val="257"/>
        </w:trPr>
        <w:tc>
          <w:tcPr>
            <w:tcW w:w="7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Restricted cash</w:t>
            </w:r>
          </w:p>
        </w:tc>
        <w:tc>
          <w:tcPr>
            <w:tcW w:w="102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6,421</w:t>
            </w:r>
          </w:p>
        </w:tc>
        <w:tc>
          <w:tcPr>
            <w:tcW w:w="280" w:type="dxa"/>
            <w:vAlign w:val="bottom"/>
            <w:tcBorders>
              <w:bottom w:val="single" w:sz="8" w:color="CFF0FC"/>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60" w:type="dxa"/>
            <w:vAlign w:val="bottom"/>
            <w:tcBorders>
              <w:bottom w:val="single" w:sz="8" w:color="CFF0FC"/>
            </w:tcBorders>
            <w:shd w:val="clear" w:color="auto" w:fill="CFF0FC"/>
          </w:tcPr>
          <w:p>
            <w:pPr>
              <w:spacing w:after="0"/>
              <w:rPr>
                <w:sz w:val="22"/>
                <w:szCs w:val="22"/>
                <w:color w:val="auto"/>
              </w:rPr>
            </w:pPr>
          </w:p>
        </w:tc>
      </w:tr>
      <w:tr>
        <w:trPr>
          <w:trHeight w:val="250"/>
        </w:trPr>
        <w:tc>
          <w:tcPr>
            <w:tcW w:w="7720" w:type="dxa"/>
            <w:vAlign w:val="bottom"/>
          </w:tcPr>
          <w:p>
            <w:pPr>
              <w:ind w:left="380"/>
              <w:spacing w:after="0"/>
              <w:rPr>
                <w:sz w:val="20"/>
                <w:szCs w:val="20"/>
                <w:color w:val="auto"/>
              </w:rPr>
            </w:pPr>
            <w:r>
              <w:rPr>
                <w:rFonts w:ascii="Arial" w:cs="Arial" w:eastAsia="Arial" w:hAnsi="Arial"/>
                <w:sz w:val="18"/>
                <w:szCs w:val="18"/>
                <w:color w:val="auto"/>
              </w:rPr>
              <w:t>Total cash, cash equivalents and restricted cash</w:t>
            </w:r>
          </w:p>
        </w:tc>
        <w:tc>
          <w:tcPr>
            <w:tcW w:w="1020" w:type="dxa"/>
            <w:vAlign w:val="bottom"/>
          </w:tcPr>
          <w:p>
            <w:pPr>
              <w:jc w:val="right"/>
              <w:ind w:right="835"/>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28,077</w:t>
            </w:r>
          </w:p>
        </w:tc>
        <w:tc>
          <w:tcPr>
            <w:tcW w:w="1280" w:type="dxa"/>
            <w:vAlign w:val="bottom"/>
            <w:gridSpan w:val="2"/>
          </w:tcPr>
          <w:p>
            <w:pPr>
              <w:jc w:val="right"/>
              <w:ind w:right="81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16,923</w:t>
            </w:r>
          </w:p>
        </w:tc>
        <w:tc>
          <w:tcPr>
            <w:tcW w:w="60" w:type="dxa"/>
            <w:vAlign w:val="bottom"/>
          </w:tcPr>
          <w:p>
            <w:pPr>
              <w:spacing w:after="0"/>
              <w:rPr>
                <w:sz w:val="21"/>
                <w:szCs w:val="21"/>
                <w:color w:val="auto"/>
              </w:rPr>
            </w:pPr>
          </w:p>
        </w:tc>
      </w:tr>
      <w:tr>
        <w:trPr>
          <w:trHeight w:val="20"/>
        </w:trPr>
        <w:tc>
          <w:tcPr>
            <w:tcW w:w="77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-1396365</wp:posOffset>
            </wp:positionV>
            <wp:extent cx="1714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-1379220</wp:posOffset>
            </wp:positionV>
            <wp:extent cx="1714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-1396365</wp:posOffset>
            </wp:positionV>
            <wp:extent cx="431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-1379220</wp:posOffset>
            </wp:positionV>
            <wp:extent cx="431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-1045210</wp:posOffset>
            </wp:positionV>
            <wp:extent cx="17145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-1028065</wp:posOffset>
            </wp:positionV>
            <wp:extent cx="1714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-1045210</wp:posOffset>
            </wp:positionV>
            <wp:extent cx="431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-1028065</wp:posOffset>
            </wp:positionV>
            <wp:extent cx="431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-193675</wp:posOffset>
            </wp:positionV>
            <wp:extent cx="17145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-193675</wp:posOffset>
            </wp:positionV>
            <wp:extent cx="431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1" w:lineRule="exact"/>
        <w:rPr>
          <w:sz w:val="20"/>
          <w:szCs w:val="20"/>
          <w:color w:val="auto"/>
        </w:rPr>
      </w:pPr>
    </w:p>
    <w:p>
      <w:pPr>
        <w:spacing w:after="0"/>
        <w:rPr>
          <w:sz w:val="20"/>
          <w:szCs w:val="20"/>
          <w:color w:val="auto"/>
        </w:rPr>
      </w:pPr>
      <w:r>
        <w:rPr>
          <w:rFonts w:ascii="Arial" w:cs="Arial" w:eastAsia="Arial" w:hAnsi="Arial"/>
          <w:sz w:val="14"/>
          <w:szCs w:val="14"/>
          <w:color w:val="auto"/>
        </w:rPr>
        <w:t>The Notes to Consolidated Financial Statements</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43"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On October 20, 2021, P10 Holdings, Inc. ("P10 Holdings"), in connection with its Initial Public Offering ("IPO"), completed a reorganization and restructure. In connection with the reorganization, P10, Inc. ("P10") became the parent company and all of the existing equity of P10 Holdings and its consolidated subsidiaries, including the convertible preferred units of P10 Intermediate, as defined below, were converted into common stock of P10. The offering and reorganization included a reverse stock split of P10 Holdings common stock on a 0.7-for-1 basis pursuant to which every outstanding share of common stock decreased to 0.7 shares. The number of shares have been retrospectively adjusted within these financial statements to reflect this stock split. The reorganization was considered a transaction between entities under common control. As a result, the consolidated financial statements for periods prior to the reorganization and IPO are the consolidated financial statements of P10 Holdings as the predecessor to P10 for accounting and reporting purposes.</w:t>
      </w:r>
    </w:p>
    <w:p>
      <w:pPr>
        <w:spacing w:after="0" w:line="56"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P10, Inc. and its consolidated subsidiaries (the “Company”)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 our mission by offering a comprehensive set of investment vehicles to our investors, including primary fund of funds, secondary investment, direct investment and co-investments, alongside separate accounts (collectively the “Funds”).</w:t>
      </w:r>
    </w:p>
    <w:p>
      <w:pPr>
        <w:spacing w:after="0" w:line="174"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The direct and indirect subsidiaries of the Company include P10 Holdings, P10 Intermediate Holdings, LLC (“P10 Intermediate”), which owns the subsidiaries P10 RCP Holdco, LLC (“Holdco”), Five Points Capital, Inc. (“Five Points”), TrueBridge Capital Partners, LLC (“TrueBridge”), Enhanced Capital Group, LLC (“ECG”), Bonaccord Capital Advisors, LLC ("Bonaccord") and Hark Capital Advisors, LLC ("Hark"). Holdco is the entity holding the acquisition financing debt and owns the subsidiaries RCP Advisors 2, LLC (“RCP 2”) and RCP Advisors 3, LLC (“RCP 3”). See Note 10 for further information on the acquisition financing debt.</w:t>
      </w:r>
    </w:p>
    <w:p>
      <w:pPr>
        <w:spacing w:after="0" w:line="19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Prior to November 19, 2016, P10,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 On December 1, 2017, the Company changed its name from P10 Industries, Inc. to P10 Holdings, Inc. We were founded as a Texas corporation in 1992 and reincorporated in Delaware in 2000. Our headquarters is in Dallas, Texas.</w:t>
      </w:r>
    </w:p>
    <w:p>
      <w:pPr>
        <w:spacing w:after="0" w:line="17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On October 5, 2017, we closed on the acquisition of RCP 2 and entered into a purchase agreement to acquire RCP 3 in January 2018. On January 3, 2018, we closed on the acquisition of RCP 3. RCP 2 and RCP 3 are registered investment advisors with the United States Securities and Exchange Commission.</w:t>
      </w:r>
    </w:p>
    <w:p>
      <w:pPr>
        <w:spacing w:after="0" w:line="183"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On April 1, 2020, the Company completed the acquisition of Five Points. Five Points is a leading lower middle market alternative investment manager focused on providing both equity and debt capital to private, growth-oriented companies and limited partner capital to other private equity funds, with all strategies focused exclusively in the U.S. lower middle market. See Note 3 for additional information on the acquisition. Five Points is a registered investment advisor with the United States Securities and Exchange Commission.</w:t>
      </w:r>
    </w:p>
    <w:p>
      <w:pPr>
        <w:spacing w:after="0" w:line="18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On October 2, 2020, the Company completed the acquisition of TrueBridge. TrueBridge is an investment firm focused on investing in venture capital through fund-of-funds, co-investments, and separate accounts. See Note 3 for additional information on the acquisition. TrueBridge is a registered investment advisor with the United States Securities and Exchange Commission.</w:t>
      </w:r>
    </w:p>
    <w:p>
      <w:pPr>
        <w:spacing w:after="0" w:line="183"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On December 14, 2020, the Company completed the acquisition of 100% of the equity interest in ECG, and a noncontrolling interest in Enhanced Capital Partners, LLC (“ECP”) (collectively, “Enhanced”). Enhanced undertakes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2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manages equity and debt investments in impact initiatives across North America, targeting underserved areas and other socially responsible end markets including renewable energy, historic building renovations, and affordable housing. See Note 3 for additional information on the acquisitions. ECP is a registered investment advisor with the United States Securities and Exchange Commission.</w:t>
      </w:r>
    </w:p>
    <w:p>
      <w:pPr>
        <w:spacing w:after="0" w:line="183"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 See Note 3 for additional information on these acquisitions.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The results for the nine months ended September 30, 2021 are not necessarily indicative of the results to be expected for the full year ended December 31, 2021.</w:t>
      </w:r>
    </w:p>
    <w:p>
      <w:pPr>
        <w:spacing w:after="0" w:line="19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Certain entities in which the Company holds an interest are investment companies that follow specialized accounting rules under U.S. GAAP and reflect their investments at estimated fair value. Accordingly, the carrying value of the Company’s equity method investments in such entities retains the specialized accounting treatment.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6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83"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76"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determine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6 for further information.</w:t>
      </w:r>
    </w:p>
    <w:p>
      <w:pPr>
        <w:spacing w:after="0" w:line="191"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includes P10 Intermediate, Holdco, RCP 2, RCP 3, TrueBridge, Bonaccord, and Hark. The assets and liabilities of the consolidated VIEs are presented gross in the Consolidated Balance Sheets. The assets of our consolidated VIE’s are owned by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22"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those entities and not generally available to satisfy P10's obligations, and the liabilities of our consolidated VIE’s are obligations of those entities and their creditors do not generally have recourse to the assets of P10. See Note 6 for more information on both consolidated and unconsolidated VIEs.</w:t>
      </w:r>
    </w:p>
    <w:p>
      <w:pPr>
        <w:spacing w:after="0" w:line="147"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Entities that do not qualify as VIEs are assessed for consolidation under the voting interest model. Under the voting interest model, the Company consolidates those entities it controls through a majority voting interest or other means. Five Points and ECG are concluded to be consolidated subsidiaries of P10 Intermediate under the voting interest model.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Certain reclassifications have been made within the Consolidated Financial Statements to conform prior periods with current period presentation.</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62" w:lineRule="exact"/>
        <w:rPr>
          <w:sz w:val="20"/>
          <w:szCs w:val="20"/>
          <w:color w:val="auto"/>
        </w:rPr>
      </w:pPr>
    </w:p>
    <w:p>
      <w:pPr>
        <w:jc w:val="both"/>
        <w:ind w:right="20" w:firstLine="509"/>
        <w:spacing w:after="0" w:line="329"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dates of the Consolidated Financial Statements and the reported amounts of revenues and expenses during the reporting periods. Actual results could differ from those estimates.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The Company considers all highly liquid instruments with original maturities of three months or less to be cash equivalents. As of September 30, 2021, and December 31, 2020, cash equivalents include money market funds of $7.8 million and $2.8 million, respectively, which approximates fair value. The Company maintains its cash balances at various financial institutions, which may periodically exceed the Federal Deposit Insurance Corporation (“FDIC”) insured limits. The Company believes it is not exposed to any significant credit risk on cash.</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Restricted cash as of September 30, 2021 and December 31, 2020 was primarily cash that is restricted due to certain deposits being held for its customers.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Due from Related Parties</w:t>
      </w:r>
    </w:p>
    <w:p>
      <w:pPr>
        <w:spacing w:after="0" w:line="135"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Accounts receivable is equal to contractual amounts reduced for allowances, if applicable. The Company considers accounts receivable to be fully collectible; accordingly, no allowance for doubtful accounts has been established as of September 30, 2021 and December 31, 2020. If accounts are subsequently determined to be uncollectible, they will be expensed in the period that determination is made.</w:t>
      </w:r>
    </w:p>
    <w:p>
      <w:pPr>
        <w:spacing w:after="0" w:line="16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Due from related parties represents receivables from the Funds for management fees earned but not yet received, reimbursable expenses from the Funds and notes receivable due from affiliates. These amounts are expected to be fully collectible.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Receivable</w:t>
      </w:r>
    </w:p>
    <w:p>
      <w:pPr>
        <w:spacing w:after="0" w:line="135"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Note receivable is equal to contractual amounts owed from a signed, secured promissory note with the Company. In addition to contractual amounts, borrowers are obligated to pay interest on outstanding amounts. The Company considers the note receivable to be fully collectible; accordingly, no allowance for doubtful accounts has been established as of September 30, 2021 and December 31, 2020. If accounts are subsequently determined to be uncollectible, they will be expensed in the period that determination is made.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Unconsolidated Subsidiaries</w:t>
      </w:r>
    </w:p>
    <w:p>
      <w:pPr>
        <w:spacing w:after="0" w:line="13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evaluates its equity method investments for impairment whenever events or changes in circumstances indicate that the carrying amounts of such investments may not be recoverable.</w:t>
      </w:r>
    </w:p>
    <w:p>
      <w:pPr>
        <w:spacing w:after="0" w:line="185"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For certain entities in which the Company does not have significant influence and fair value is not readily determinable, we value these investments under the measurement alternative. Financial Accounting Standards Board (“FASB”) Accounting Standards Codification (“ASC”) 825, Financial Instruments, requires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Property and equipment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spacing w:after="0" w:line="218" w:lineRule="exact"/>
        <w:rPr>
          <w:sz w:val="20"/>
          <w:szCs w:val="20"/>
          <w:color w:val="auto"/>
        </w:rPr>
      </w:pPr>
    </w:p>
    <w:tbl>
      <w:tblPr>
        <w:tblLayout w:type="fixed"/>
        <w:tblInd w:w="2720" w:type="dxa"/>
        <w:tblCellMar>
          <w:top w:w="0" w:type="dxa"/>
          <w:left w:w="0" w:type="dxa"/>
          <w:bottom w:w="0" w:type="dxa"/>
          <w:right w:w="0" w:type="dxa"/>
        </w:tblCellMar>
      </w:tblPr>
      <w:tr>
        <w:trPr>
          <w:trHeight w:val="257"/>
        </w:trPr>
        <w:tc>
          <w:tcPr>
            <w:tcW w:w="3740" w:type="dxa"/>
            <w:vAlign w:val="bottom"/>
          </w:tcPr>
          <w:p>
            <w:pPr>
              <w:spacing w:after="0"/>
              <w:rPr>
                <w:sz w:val="20"/>
                <w:szCs w:val="20"/>
                <w:color w:val="auto"/>
              </w:rPr>
            </w:pPr>
            <w:r>
              <w:rPr>
                <w:rFonts w:ascii="Arial" w:cs="Arial" w:eastAsia="Arial" w:hAnsi="Arial"/>
                <w:sz w:val="18"/>
                <w:szCs w:val="18"/>
                <w:color w:val="auto"/>
              </w:rPr>
              <w:t>Computers and purchased software</w:t>
            </w:r>
          </w:p>
        </w:tc>
        <w:tc>
          <w:tcPr>
            <w:tcW w:w="206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83"/>
        </w:trPr>
        <w:tc>
          <w:tcPr>
            <w:tcW w:w="37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60" w:type="dxa"/>
            <w:vAlign w:val="bottom"/>
          </w:tcPr>
          <w:p>
            <w:pPr>
              <w:jc w:val="right"/>
              <w:spacing w:after="0"/>
              <w:rPr>
                <w:sz w:val="20"/>
                <w:szCs w:val="20"/>
                <w:color w:val="auto"/>
              </w:rPr>
            </w:pPr>
            <w:r>
              <w:rPr>
                <w:rFonts w:ascii="Arial" w:cs="Arial" w:eastAsia="Arial" w:hAnsi="Arial"/>
                <w:sz w:val="18"/>
                <w:szCs w:val="18"/>
                <w:color w:val="auto"/>
              </w:rPr>
              <w:t>7 - 10 years</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6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 xml:space="preserve">Long-lived assets including property and equipment, lease right-of-use assets, and definite lived intangibles are evaluated for impairment under FASB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Long-lived assets are reviewed for possible impairment whenever events or changes in circumstances indicate that the carrying amount may not be recoverable. The carrying value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Company recognizes a lease liability and right-of-use asset in our Consolidated Balance Sheets for contracts that it determines are leases or contain a lease. The Company’s leases primarily consist of operating leases for various office spaces.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when it is reasonably certain that the Company will exercise those options. Lease expense is recognized on a straight-line basis over the lease term. Additionally, upon amendments or other events, the Company may be required to remeasure our lease liability and right-of-use asset.</w:t>
      </w:r>
    </w:p>
    <w:p>
      <w:pPr>
        <w:spacing w:after="0" w:line="182"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The Company does not recognize a lease liability or right-of-use asset on our Consolidated Balance Sheets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a lease qualifies as a short-term lease, the Company evaluates the lease term and the purchase option in the same manner as all other leases.</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62"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Goodwill is initially measured as the excess of the cost of the acquired business over the sum of the amounts assigned to identifiable assets acquired, less the liabilities assumed. As of September 30, 2021, goodwill recorded on our Consolidated Balance Sheets relates to the acquisitions of RCP 2, RCP 3, Five Points, TrueBridge, Enhanced, Bonaccord, and Hark. As of September 30, 2021, the intangible assets are comprised of indefinite-lived intangible assets and finite-lived intangible assets related to the acquisitions of RCP 2, RCP 3, Five Points, TrueBridge, Enhanced, Bonaccord and Hark.</w:t>
      </w:r>
    </w:p>
    <w:p>
      <w:pPr>
        <w:spacing w:after="0" w:line="156"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 to have finite-lives. Finite-lived trade names are amortized over 10 years in line with the pattern in which the economic benefits are expected to occur.</w:t>
      </w:r>
    </w:p>
    <w:p>
      <w:pPr>
        <w:spacing w:after="0" w:line="19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Goodwill is reviewed for impairment at least annually as of September 30 utilizing a qualitative or quantitative approach and more frequently if circumstances indicate impairment may have occurred. The impairment testing for goodwill under the qualitative approach is based first on a qualitative assessment to determine if it is more likely than not that the fair value of the Company’s reporting unit is less than the respective carrying value. The reporting unit is the reporting level for testing the impairment of goodwill. If it is determined that it is more likely than not that a reporting unit’s fair value is less than its carrying value, then the difference is recorded as an impairment (not to exceed the carrying amount of goodwill). At September 30, 2021, the Company determined that there was no impairment to goodwill.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16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Contingent consideration is initially measured at fair value on the date of the acquisition. The liabilities are remeasured at fair value on each reporting date, with changes in the fair value reflected in other income on our Consolidated Statements of Operations. As of September 30, 2021, contingent consideration recorded relates to the acquisition of Hark and Bonaccord.</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62"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color w:val="auto"/>
        </w:rPr>
        <w:t>Costs incurred which are directly related to the issuance of debt are deferred and amortized on a straight-line basis over the terms of the underlying obligation, which approximates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Noncontrolling Interest</w:t>
      </w:r>
    </w:p>
    <w:p>
      <w:pPr>
        <w:spacing w:after="0" w:line="135"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Redeemable noncontrolling interest represents third party and related party interests in the Company's consolidated subsidiary, P10 Intermediate. This interest is redeemable at the option of the investors and therefore is not treated as permanent equity. Redeemable noncontrolling interest is presented at the greater of its carrying amount or redemption value at each reporting date in the Company’s Consolidated Balance Sheets. Any changes in redemption value are recorded to retained earnings, or in the absence of retained earnings, additional paid-in capital. See Note 16 for additional information.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62"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The Company records common stock purchased for treasury at cost. At the date of subsequent reissuance, the treasury stock account is reduced by the cost of such stock using the average cost method.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3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w:t>
      </w:r>
    </w:p>
    <w:p>
      <w:pPr>
        <w:spacing w:after="0" w:line="185"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As of September 30, 2021 and December 31, 2020, we used the following valuation techniques to measure fair value for assets and there were no changes to these methodologies during the periods presented:</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1—Assets were valued using the closing price reported in the active market in which the individual security was traded.</w:t>
      </w:r>
    </w:p>
    <w:p>
      <w:pPr>
        <w:spacing w:after="0" w:line="131"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Level 2—Assets were valued using quoted prices in markets that are not active, broker dealer quotations, and other methods by which all significant inputs were observable at the measurement date.</w:t>
      </w:r>
    </w:p>
    <w:p>
      <w:pPr>
        <w:spacing w:after="0" w:line="62"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Level 3—Assets were valued using unobservable inputs in which little or no market data exists as reported by the respective institutions at the measurement date.</w:t>
      </w:r>
    </w:p>
    <w:p>
      <w:pPr>
        <w:spacing w:after="0" w:line="170"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The carrying values of financial instruments comprising cash and cash equivalents, prepaid assets, accounts payable, accounts receivable and due from related parties approximate fair values due to the short-term maturities of these instruments. The fair value of the credit and guarantee facility approximates the carrying value based on the interest rates which approximate current market rates. The carrying values of the seller notes payable and tax amortization benefits approximate fair value. As of September 30, 2021, the Company has a contingent consideration liability related to the acquisitions of Hark and Bonaccord that is measured at fair value. The Company measures these liabilities on a recurring basis.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Revenue is recognized when, or as, the Company transfers promised goods or services to customers in an amount that reflects the consideration to which the Company expects to be entitled to in exchange for those goods or services. While the determination of who is the customer in a contractual arrangement will be made on a contract-by-contract basis, the customer will generally be the investment fund for the Company’s significant management and advisory contracts.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and Advisory Fees</w:t>
      </w:r>
    </w:p>
    <w:p>
      <w:pPr>
        <w:spacing w:after="0" w:line="158"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 on the Consolidated Balance Sheets.</w:t>
      </w:r>
    </w:p>
    <w:p>
      <w:pPr>
        <w:spacing w:after="0" w:line="18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For asset management and advisory services, the Company typically satisfies its performance obligations over time as the services are rendered, since the customers simultaneously receive and consume the benefits provided as the Company performs the service. The transaction price is the amount of consideration to which the Company expects to be entitled based on the terms of the arrangement. For certain funds, management fees are initially calculated based on committed capital during the investment period and on net invested capital through the remainder of the fund’s term. Additionally, the management fee may step down for certain funds depending on the contractual arrangement. Advisory services are generally based upon fixed amounts and billed quarterly. Other advisory services include transaction and management fees associated with managing the origination and ongoing compliance of certain investments.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31"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Other revenue on our Consolidated Statements of Operations primarily consists of subscriptions, consulting agreements and referral fees.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certain opportunities.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 xml:space="preserve">Current income tax expense represents our estimated taxes to be paid or refunded for the current period.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91" w:lineRule="exact"/>
        <w:rPr>
          <w:sz w:val="20"/>
          <w:szCs w:val="20"/>
          <w:color w:val="auto"/>
        </w:rPr>
      </w:pPr>
    </w:p>
    <w:p>
      <w:pPr>
        <w:jc w:val="both"/>
        <w:ind w:right="20" w:firstLine="509"/>
        <w:spacing w:after="0" w:line="359" w:lineRule="auto"/>
        <w:rPr>
          <w:sz w:val="20"/>
          <w:szCs w:val="20"/>
          <w:color w:val="auto"/>
        </w:rPr>
      </w:pPr>
      <w:r>
        <w:rPr>
          <w:rFonts w:ascii="Arial" w:cs="Arial" w:eastAsia="Arial" w:hAnsi="Arial"/>
          <w:sz w:val="16"/>
          <w:szCs w:val="16"/>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file various federal and state and local tax returns based on federal and state local consolidation and stand-alone tax rules as applicable.</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3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Basic earnings per share (“EPS”) is calculated by dividing net income attributable to common stockholders by the weighted-average number of common shares. Diluted EPS includes the determinants of basic EPS and common stock equivalents outstanding during the period adjusted to give effect to potentially dilutive securities. See Note 15 for additional information. The numerator in the computation of diluted EPS is impacted by the redeemable convertible preferred shares issued by P10 Intermediate since these preferred shares are convertible into common shares of P10 Intermediate. Under the if converted method, diluted EPS reflects a reduction in earnings that P10 would recognize by owning a smaller percentage of P10 Intermediate when the preferred shares are assumed to be converted.</w:t>
      </w:r>
    </w:p>
    <w:p>
      <w:pPr>
        <w:spacing w:after="0" w:line="19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Under the treasury stock method, the unexercised options are assumed to be exercised at the beginning of the period or at issuance, if later. The assumed proceeds are then used to purchase shares of common stock at the average market price during the period.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62"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Stock-based compensation relates to grants for shares of P10 awarded to our employees. Stock-based compensation cost is estimated at the grant date based on the fair-value of the award, which is determined using the Black Scholes option valuation model and is recognized as expense ratably over the requisite service period of the award, generally five years. The share price used in the Black Scholes model is based on the trading price of our shares on the OTC Market. Expected life is based on the vesting period and expiration date of the option. Stock price volatility is estimated based on a group of similar publicly traded companies determined to be most reflective of the expected volatility of the Company due to the nature of operations of these entities. The risk-free rates are based on the U.S. Treasury yield in effect at the time of grant. Forfeitures are recognized as they occur.</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62"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color w:val="auto"/>
        </w:rPr>
        <w:t xml:space="preserve">The Company operates as an integrated private markets solution provider and a single operating segment. According to ASC 280, </w:t>
      </w:r>
      <w:r>
        <w:rPr>
          <w:rFonts w:ascii="Arial" w:cs="Arial" w:eastAsia="Arial" w:hAnsi="Arial"/>
          <w:sz w:val="16"/>
          <w:szCs w:val="16"/>
          <w:i w:val="1"/>
          <w:iCs w:val="1"/>
          <w:color w:val="auto"/>
        </w:rPr>
        <w:t>Disclosures</w:t>
      </w:r>
      <w:r>
        <w:rPr>
          <w:rFonts w:ascii="Arial" w:cs="Arial" w:eastAsia="Arial" w:hAnsi="Arial"/>
          <w:sz w:val="16"/>
          <w:szCs w:val="16"/>
          <w:color w:val="auto"/>
        </w:rPr>
        <w:t xml:space="preserve"> </w:t>
      </w:r>
      <w:r>
        <w:rPr>
          <w:rFonts w:ascii="Arial" w:cs="Arial" w:eastAsia="Arial" w:hAnsi="Arial"/>
          <w:sz w:val="16"/>
          <w:szCs w:val="16"/>
          <w:i w:val="1"/>
          <w:iCs w:val="1"/>
          <w:color w:val="auto"/>
        </w:rPr>
        <w:t>about Segments of an Enterprise and Related Information</w:t>
      </w:r>
      <w:r>
        <w:rPr>
          <w:rFonts w:ascii="Arial" w:cs="Arial" w:eastAsia="Arial" w:hAnsi="Arial"/>
          <w:sz w:val="16"/>
          <w:szCs w:val="16"/>
          <w:color w:val="auto"/>
        </w:rPr>
        <w:t>, operating segments are defined as components of an enterprise for which separate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is evaluated regularly by the chief operating decision maker(s) in deciding how to allocate resources and in assessing performance.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w:t>
      </w:r>
    </w:p>
    <w:p>
      <w:pPr>
        <w:spacing w:after="0" w:line="162"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 xml:space="preserve">In accordance with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30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w:t>
      </w:r>
    </w:p>
    <w:p>
      <w:pPr>
        <w:spacing w:after="0" w:line="19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The Company includes the results of operations of acquired businesses beginning on the respective acquisition dates. In accordance with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notes payable, and tax amortization benefits.</w:t>
      </w:r>
    </w:p>
    <w:p>
      <w:pPr>
        <w:spacing w:after="0" w:line="19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general, administrative and other on our Consolidated Statements of Operations.</w:t>
      </w:r>
    </w:p>
    <w:p>
      <w:pPr>
        <w:spacing w:after="0" w:line="191"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7"/>
          <w:szCs w:val="17"/>
          <w:color w:val="auto"/>
        </w:rPr>
        <w:t>For business acquisitions, the Company recognizes the fair value of goodwill and other acquired intangible assets, and estimated contingent consideration at the acquisition date as part of purchase price. This fair value measurement is based on unobservable (Level 3) inputs.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62"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color w:val="auto"/>
        </w:rPr>
        <w:t xml:space="preserve">The Company adopted ASU No. 2017-04, </w:t>
      </w:r>
      <w:r>
        <w:rPr>
          <w:rFonts w:ascii="Arial" w:cs="Arial" w:eastAsia="Arial" w:hAnsi="Arial"/>
          <w:sz w:val="16"/>
          <w:szCs w:val="16"/>
          <w:i w:val="1"/>
          <w:iCs w:val="1"/>
          <w:color w:val="auto"/>
        </w:rPr>
        <w:t>Intangibles—Goodwill and Other (“ASC 350”) Simplifying the Test for Goodwill Impairment</w:t>
      </w:r>
      <w:r>
        <w:rPr>
          <w:rFonts w:ascii="Arial" w:cs="Arial" w:eastAsia="Arial" w:hAnsi="Arial"/>
          <w:sz w:val="16"/>
          <w:szCs w:val="16"/>
          <w:color w:val="auto"/>
        </w:rPr>
        <w:t xml:space="preserve"> on January 1, 2020. The adoption of this new guidance did not have a material impact on our Consolidated Financial Statements and related disclosures.</w:t>
      </w:r>
    </w:p>
    <w:p>
      <w:pPr>
        <w:spacing w:after="0" w:line="12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 xml:space="preserve">The Company adopted ASU No. 2018-13, </w:t>
      </w:r>
      <w:r>
        <w:rPr>
          <w:rFonts w:ascii="Arial" w:cs="Arial" w:eastAsia="Arial" w:hAnsi="Arial"/>
          <w:sz w:val="18"/>
          <w:szCs w:val="18"/>
          <w:i w:val="1"/>
          <w:iCs w:val="1"/>
          <w:color w:val="auto"/>
        </w:rPr>
        <w:t>Fair Value Measurement (“ASC 820”): Disclosure Framework-Changes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Fair Value Measurement </w:t>
      </w:r>
      <w:r>
        <w:rPr>
          <w:rFonts w:ascii="Arial" w:cs="Arial" w:eastAsia="Arial" w:hAnsi="Arial"/>
          <w:sz w:val="18"/>
          <w:szCs w:val="18"/>
          <w:color w:val="auto"/>
        </w:rPr>
        <w:t>on January 1, 2020. The adoption of this new guidance did not have a material impact on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related disclosures.</w:t>
      </w:r>
    </w:p>
    <w:p>
      <w:pPr>
        <w:spacing w:after="0" w:line="183"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 xml:space="preserve">The Company adopted ASU No. 2018-07, </w:t>
      </w:r>
      <w:r>
        <w:rPr>
          <w:rFonts w:ascii="Arial" w:cs="Arial" w:eastAsia="Arial" w:hAnsi="Arial"/>
          <w:sz w:val="18"/>
          <w:szCs w:val="18"/>
          <w:i w:val="1"/>
          <w:iCs w:val="1"/>
          <w:color w:val="auto"/>
        </w:rPr>
        <w:t>Compensation—Stock Compensation ("Topic 718"):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on December 15, 2018. This guidance was related to the restricted stock awards granted to our board members as compensation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their participation on our board in the third quarter of 2021. The adoption of this new guidance did not have a material impact on our Consolidated Financial Statements and related disclosures.</w:t>
      </w:r>
    </w:p>
    <w:p>
      <w:pPr>
        <w:spacing w:after="0" w:line="18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 xml:space="preserve">The Company adopted ASU No. 2019-12, </w:t>
      </w:r>
      <w:r>
        <w:rPr>
          <w:rFonts w:ascii="Arial" w:cs="Arial" w:eastAsia="Arial" w:hAnsi="Arial"/>
          <w:sz w:val="18"/>
          <w:szCs w:val="18"/>
          <w:i w:val="1"/>
          <w:iCs w:val="1"/>
          <w:color w:val="auto"/>
        </w:rPr>
        <w:t>Income Taxes ("Topic 740"): Disclosure Framework - Simplifying the Accounting for Income Taxes</w:t>
      </w:r>
      <w:r>
        <w:rPr>
          <w:rFonts w:ascii="Arial" w:cs="Arial" w:eastAsia="Arial" w:hAnsi="Arial"/>
          <w:sz w:val="18"/>
          <w:szCs w:val="18"/>
          <w:color w:val="auto"/>
        </w:rPr>
        <w:t>, in January 1, 2021, which simplified the accounting for income taxes by removing certain exceptions to the general principles of Topic 740 and clarifying and amending existing guidance. The adoption of this standard did not have a material impact on our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not yet adopted</w:t>
      </w:r>
    </w:p>
    <w:p>
      <w:pPr>
        <w:spacing w:after="0" w:line="131"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(“ASU 2016-13”). ASU 2016-13 provides amendments to ASC 326,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which replaces the incurred loss impairment model with a current expected credit loss (“CECL”) model. CECL requires a company to estimate lifetime expected credit losses based on relevant information about historical events, current conditions and reasonable and supportable forecasts. The guidance must be applied using the modified retrospective adoption method on January 1, 2023, with early adoption permitted.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 Points Capital</w:t>
      </w:r>
    </w:p>
    <w:p>
      <w:pPr>
        <w:spacing w:after="0" w:line="13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On April 1, 2020, we completed the acquisition of 100% of the capital stock of Five Points, an independent private equity manager focused exclusively on the U.S. lower middle market. The transaction was accounted for as a business combination under the acquisition method of accounting pursuant to ASC 805.</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consideration paid:</w:t>
      </w:r>
    </w:p>
    <w:p>
      <w:pPr>
        <w:spacing w:after="0" w:line="257" w:lineRule="exact"/>
        <w:rPr>
          <w:sz w:val="20"/>
          <w:szCs w:val="20"/>
          <w:color w:val="auto"/>
        </w:rPr>
      </w:pPr>
    </w:p>
    <w:tbl>
      <w:tblPr>
        <w:tblLayout w:type="fixed"/>
        <w:tblInd w:w="226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6"/>
                <w:szCs w:val="16"/>
                <w:color w:val="auto"/>
              </w:rPr>
            </w:pPr>
          </w:p>
        </w:tc>
      </w:tr>
      <w:tr>
        <w:trPr>
          <w:trHeight w:val="256"/>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46,751</w:t>
            </w:r>
          </w:p>
        </w:tc>
        <w:tc>
          <w:tcPr>
            <w:tcW w:w="60" w:type="dxa"/>
            <w:vAlign w:val="bottom"/>
            <w:shd w:val="clear" w:color="auto" w:fill="CFF0FC"/>
          </w:tcPr>
          <w:p>
            <w:pPr>
              <w:spacing w:after="0"/>
              <w:rPr>
                <w:sz w:val="22"/>
                <w:szCs w:val="22"/>
                <w:color w:val="auto"/>
              </w:rPr>
            </w:pPr>
          </w:p>
        </w:tc>
      </w:tr>
      <w:tr>
        <w:trPr>
          <w:trHeight w:val="250"/>
        </w:trPr>
        <w:tc>
          <w:tcPr>
            <w:tcW w:w="5340" w:type="dxa"/>
            <w:vAlign w:val="bottom"/>
          </w:tcPr>
          <w:p>
            <w:pPr>
              <w:spacing w:after="0"/>
              <w:rPr>
                <w:sz w:val="20"/>
                <w:szCs w:val="20"/>
                <w:color w:val="auto"/>
              </w:rPr>
            </w:pPr>
            <w:r>
              <w:rPr>
                <w:rFonts w:ascii="Arial" w:cs="Arial" w:eastAsia="Arial" w:hAnsi="Arial"/>
                <w:sz w:val="18"/>
                <w:szCs w:val="18"/>
                <w:color w:val="auto"/>
              </w:rPr>
              <w:t>Preferred stock</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20,100</w:t>
            </w:r>
          </w:p>
        </w:tc>
        <w:tc>
          <w:tcPr>
            <w:tcW w:w="60" w:type="dxa"/>
            <w:vAlign w:val="bottom"/>
          </w:tcPr>
          <w:p>
            <w:pPr>
              <w:spacing w:after="0"/>
              <w:rPr>
                <w:sz w:val="21"/>
                <w:szCs w:val="21"/>
                <w:color w:val="auto"/>
              </w:rPr>
            </w:pPr>
          </w:p>
        </w:tc>
      </w:tr>
      <w:tr>
        <w:trPr>
          <w:trHeight w:val="290"/>
        </w:trPr>
        <w:tc>
          <w:tcPr>
            <w:tcW w:w="5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purchase consideration</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66,851</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431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Consideration paid in the transaction consisted of both cash and equity. See Note 16 for additional information on the preferred stock issued in the connection with the acquisition of Five Points.</w:t>
      </w:r>
    </w:p>
    <w:p>
      <w:pPr>
        <w:spacing w:after="0" w:line="170"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color w:val="auto"/>
        </w:rPr>
        <w:t>In connection with the acquisition, the Company incurred a total of $2.3 million of acquisition-related expenses. Of the total acquisition-related expenses, $0 and $0 million were recorded during the nine and three months ended September 30, 2021 and $1.1 and $0 million were recorded during the nine and three month ended September 30, 2020, respectively. These costs are included in professional fees on our Consolidated Statements of Operations.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fair value of the net assets acquired as of the acquisition date: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6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Fair Value</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1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400" w:type="dxa"/>
            <w:vAlign w:val="bottom"/>
            <w:tcBorders>
              <w:top w:val="single" w:sz="8" w:color="auto"/>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840" w:type="dxa"/>
            <w:vAlign w:val="bottom"/>
            <w:tcBorders>
              <w:top w:val="single" w:sz="8" w:color="auto"/>
              <w:right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060" w:type="dxa"/>
            <w:vAlign w:val="bottom"/>
            <w:gridSpan w:val="2"/>
          </w:tcPr>
          <w:p>
            <w:pPr>
              <w:jc w:val="right"/>
              <w:ind w:right="219"/>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111</w:t>
            </w: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00" w:type="dxa"/>
            <w:vAlign w:val="bottom"/>
            <w:tcBorders>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rPr>
              <w:t>295</w:t>
            </w:r>
          </w:p>
        </w:tc>
        <w:tc>
          <w:tcPr>
            <w:tcW w:w="5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Due from related parties</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27</w:t>
            </w: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Prepaid expenses and other</w:t>
            </w:r>
          </w:p>
        </w:tc>
        <w:tc>
          <w:tcPr>
            <w:tcW w:w="20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00" w:type="dxa"/>
            <w:vAlign w:val="bottom"/>
            <w:tcBorders>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87</w:t>
            </w: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Right-of-use assets</w:t>
            </w:r>
          </w:p>
        </w:tc>
        <w:tc>
          <w:tcPr>
            <w:tcW w:w="20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00" w:type="dxa"/>
            <w:vAlign w:val="bottom"/>
            <w:tcBorders>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rPr>
              <w:t>339</w:t>
            </w:r>
          </w:p>
        </w:tc>
        <w:tc>
          <w:tcPr>
            <w:tcW w:w="5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23,960</w:t>
            </w: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assets acquired</w:t>
            </w:r>
          </w:p>
        </w:tc>
        <w:tc>
          <w:tcPr>
            <w:tcW w:w="200" w:type="dxa"/>
            <w:vAlign w:val="bottom"/>
            <w:shd w:val="clear" w:color="auto" w:fill="CFF0FC"/>
          </w:tcPr>
          <w:p>
            <w:pPr>
              <w:spacing w:after="0"/>
              <w:rPr>
                <w:sz w:val="24"/>
                <w:szCs w:val="24"/>
                <w:color w:val="auto"/>
              </w:rPr>
            </w:pPr>
          </w:p>
        </w:tc>
        <w:tc>
          <w:tcPr>
            <w:tcW w:w="1060" w:type="dxa"/>
            <w:vAlign w:val="bottom"/>
            <w:gridSpan w:val="2"/>
            <w:shd w:val="clear" w:color="auto" w:fill="CFF0FC"/>
          </w:tcPr>
          <w:p>
            <w:pPr>
              <w:jc w:val="right"/>
              <w:ind w:right="219"/>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rPr>
              <w:t>24,832</w:t>
            </w: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8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CFF0FC"/>
            </w:tcBorders>
          </w:tcPr>
          <w:p>
            <w:pPr>
              <w:spacing w:after="0"/>
              <w:rPr>
                <w:sz w:val="20"/>
                <w:szCs w:val="20"/>
                <w:color w:val="auto"/>
              </w:rPr>
            </w:pPr>
          </w:p>
        </w:tc>
        <w:tc>
          <w:tcPr>
            <w:tcW w:w="660" w:type="dxa"/>
            <w:vAlign w:val="bottom"/>
            <w:tcBorders>
              <w:top w:val="single" w:sz="8" w:color="CFF0FC"/>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19"/>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rPr>
              <w:t>358</w:t>
            </w:r>
          </w:p>
        </w:tc>
        <w:tc>
          <w:tcPr>
            <w:tcW w:w="5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390</w:t>
            </w: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Long-term lease obligation</w:t>
            </w:r>
          </w:p>
        </w:tc>
        <w:tc>
          <w:tcPr>
            <w:tcW w:w="20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00" w:type="dxa"/>
            <w:vAlign w:val="bottom"/>
            <w:tcBorders>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rPr>
              <w:t>339</w:t>
            </w:r>
          </w:p>
        </w:tc>
        <w:tc>
          <w:tcPr>
            <w:tcW w:w="5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Deferred tax liability</w:t>
            </w: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5,524</w:t>
            </w: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liabilities assumed</w:t>
            </w:r>
          </w:p>
        </w:tc>
        <w:tc>
          <w:tcPr>
            <w:tcW w:w="2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rPr>
              <w:t>6,611</w:t>
            </w: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6"/>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Net identifiable assets acquired</w:t>
            </w:r>
          </w:p>
        </w:tc>
        <w:tc>
          <w:tcPr>
            <w:tcW w:w="200" w:type="dxa"/>
            <w:vAlign w:val="bottom"/>
          </w:tcPr>
          <w:p>
            <w:pPr>
              <w:spacing w:after="0"/>
              <w:rPr>
                <w:sz w:val="24"/>
                <w:szCs w:val="24"/>
                <w:color w:val="auto"/>
              </w:rPr>
            </w:pPr>
          </w:p>
        </w:tc>
        <w:tc>
          <w:tcPr>
            <w:tcW w:w="1060" w:type="dxa"/>
            <w:vAlign w:val="bottom"/>
            <w:gridSpan w:val="2"/>
          </w:tcPr>
          <w:p>
            <w:pPr>
              <w:jc w:val="right"/>
              <w:ind w:right="219"/>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18,221</w:t>
            </w: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rPr>
              <w:t>48,630</w:t>
            </w:r>
          </w:p>
        </w:tc>
        <w:tc>
          <w:tcPr>
            <w:tcW w:w="5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80" w:type="dxa"/>
            <w:vAlign w:val="bottom"/>
          </w:tcPr>
          <w:p>
            <w:pPr>
              <w:ind w:left="360"/>
              <w:spacing w:after="0"/>
              <w:rPr>
                <w:sz w:val="20"/>
                <w:szCs w:val="20"/>
                <w:color w:val="auto"/>
              </w:rPr>
            </w:pPr>
            <w:r>
              <w:rPr>
                <w:rFonts w:ascii="Arial" w:cs="Arial" w:eastAsia="Arial" w:hAnsi="Arial"/>
                <w:sz w:val="18"/>
                <w:szCs w:val="18"/>
                <w:color w:val="auto"/>
              </w:rPr>
              <w:t>Net assets acquired</w:t>
            </w:r>
          </w:p>
        </w:tc>
        <w:tc>
          <w:tcPr>
            <w:tcW w:w="200" w:type="dxa"/>
            <w:vAlign w:val="bottom"/>
          </w:tcPr>
          <w:p>
            <w:pPr>
              <w:spacing w:after="0"/>
              <w:rPr>
                <w:sz w:val="21"/>
                <w:szCs w:val="21"/>
                <w:color w:val="auto"/>
              </w:rPr>
            </w:pPr>
          </w:p>
        </w:tc>
        <w:tc>
          <w:tcPr>
            <w:tcW w:w="1060" w:type="dxa"/>
            <w:vAlign w:val="bottom"/>
            <w:gridSpan w:val="2"/>
          </w:tcPr>
          <w:p>
            <w:pPr>
              <w:jc w:val="right"/>
              <w:ind w:right="219"/>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66,851</w:t>
            </w: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jc w:val="right"/>
              <w:ind w:right="90"/>
              <w:spacing w:after="0"/>
              <w:rPr>
                <w:sz w:val="20"/>
                <w:szCs w:val="20"/>
                <w:color w:val="auto"/>
              </w:rPr>
            </w:pPr>
            <w:r>
              <w:rPr>
                <w:rFonts w:ascii="Arial" w:cs="Arial" w:eastAsia="Arial" w:hAnsi="Arial"/>
                <w:sz w:val="18"/>
                <w:szCs w:val="18"/>
                <w:color w:val="auto"/>
                <w:w w:val="98"/>
              </w:rPr>
              <w:t>The following table presents the fair value of identifiable intangible assets acquired:</w:t>
            </w: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74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Average</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Amortization</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39"/>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8"/>
                <w:szCs w:val="18"/>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Period</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700" w:type="dxa"/>
            <w:vAlign w:val="bottom"/>
          </w:tcPr>
          <w:p>
            <w:pPr>
              <w:spacing w:after="0"/>
              <w:rPr>
                <w:sz w:val="22"/>
                <w:szCs w:val="22"/>
                <w:color w:val="auto"/>
              </w:rPr>
            </w:pPr>
          </w:p>
        </w:tc>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Value of management contracts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19,900</w:t>
            </w:r>
          </w:p>
        </w:tc>
        <w:tc>
          <w:tcPr>
            <w:tcW w:w="15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700" w:type="dxa"/>
            <w:vAlign w:val="bottom"/>
          </w:tcPr>
          <w:p>
            <w:pPr>
              <w:spacing w:after="0"/>
              <w:rPr>
                <w:sz w:val="22"/>
                <w:szCs w:val="22"/>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Value of trade name</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4,060</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1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1700" w:type="dxa"/>
            <w:vAlign w:val="bottom"/>
          </w:tcPr>
          <w:p>
            <w:pPr>
              <w:spacing w:after="0"/>
              <w:rPr>
                <w:sz w:val="24"/>
                <w:szCs w:val="24"/>
                <w:color w:val="auto"/>
              </w:rPr>
            </w:pPr>
          </w:p>
        </w:tc>
        <w:tc>
          <w:tcPr>
            <w:tcW w:w="5040" w:type="dxa"/>
            <w:vAlign w:val="bottom"/>
            <w:tcBorders>
              <w:bottom w:val="single" w:sz="8" w:color="CFF0FC"/>
            </w:tcBorders>
            <w:gridSpan w:val="2"/>
            <w:shd w:val="clear" w:color="auto" w:fill="CFF0FC"/>
          </w:tcPr>
          <w:p>
            <w:pPr>
              <w:ind w:left="180"/>
              <w:spacing w:after="0"/>
              <w:rPr>
                <w:sz w:val="20"/>
                <w:szCs w:val="20"/>
                <w:color w:val="auto"/>
              </w:rPr>
            </w:pPr>
            <w:r>
              <w:rPr>
                <w:rFonts w:ascii="Arial" w:cs="Arial" w:eastAsia="Arial" w:hAnsi="Arial"/>
                <w:sz w:val="18"/>
                <w:szCs w:val="18"/>
                <w:color w:val="auto"/>
              </w:rPr>
              <w:t>Total identifiable intangible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23,960</w:t>
            </w:r>
          </w:p>
        </w:tc>
        <w:tc>
          <w:tcPr>
            <w:tcW w:w="16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CFF0FC"/>
              <w:right w:val="single" w:sz="8" w:color="CFF0FC"/>
            </w:tcBorders>
            <w:shd w:val="clear" w:color="auto" w:fill="CFF0FC"/>
          </w:tcPr>
          <w:p>
            <w:pPr>
              <w:spacing w:after="0"/>
              <w:rPr>
                <w:sz w:val="24"/>
                <w:szCs w:val="24"/>
                <w:color w:val="auto"/>
              </w:rPr>
            </w:pPr>
          </w:p>
        </w:tc>
        <w:tc>
          <w:tcPr>
            <w:tcW w:w="56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740" w:type="dxa"/>
            <w:vAlign w:val="bottom"/>
            <w:gridSpan w:val="3"/>
          </w:tcPr>
          <w:p>
            <w:pPr>
              <w:jc w:val="right"/>
              <w:ind w:right="950"/>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-3642360</wp:posOffset>
            </wp:positionV>
            <wp:extent cx="431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-3625215</wp:posOffset>
            </wp:positionV>
            <wp:extent cx="431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-2628265</wp:posOffset>
            </wp:positionV>
            <wp:extent cx="431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-2131060</wp:posOffset>
            </wp:positionV>
            <wp:extent cx="4318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-479425</wp:posOffset>
            </wp:positionV>
            <wp:extent cx="1028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-462280</wp:posOffset>
            </wp:positionV>
            <wp:extent cx="1028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goodwill recorded as part of the acquisition includes benefits that management believes will result from the acquisition, including expanding the Company’s product offering into private credit. The goodwill is not expected to be deductible for tax purposes.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TrueBridge Capital</w:t>
      </w:r>
    </w:p>
    <w:p>
      <w:pPr>
        <w:spacing w:after="0" w:line="13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On October 2, 2020, the Company completed the acquisition of 100% of the issued and outstanding membership interests of TrueBridge for a total consideration of $189.1 million, which includes cash, contingent consideration and preferred stock of P10 Intermediate. TrueBridge is a leading venture capital firm that invests in both venture funds and directly in select venture-backed companies. The transaction was accounted for as a business combination under the acquisition method of accounting pursuant to ASC 805.</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consideration paid:</w:t>
      </w:r>
    </w:p>
    <w:p>
      <w:pPr>
        <w:spacing w:after="0" w:line="257" w:lineRule="exact"/>
        <w:rPr>
          <w:sz w:val="20"/>
          <w:szCs w:val="20"/>
          <w:color w:val="auto"/>
        </w:rPr>
      </w:pPr>
    </w:p>
    <w:tbl>
      <w:tblPr>
        <w:tblLayout w:type="fixed"/>
        <w:tblInd w:w="226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6"/>
                <w:szCs w:val="16"/>
                <w:color w:val="auto"/>
              </w:rPr>
            </w:pPr>
          </w:p>
        </w:tc>
      </w:tr>
      <w:tr>
        <w:trPr>
          <w:trHeight w:val="25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94,216</w:t>
            </w:r>
          </w:p>
        </w:tc>
        <w:tc>
          <w:tcPr>
            <w:tcW w:w="60" w:type="dxa"/>
            <w:vAlign w:val="bottom"/>
            <w:shd w:val="clear" w:color="auto" w:fill="CFF0FC"/>
          </w:tcPr>
          <w:p>
            <w:pPr>
              <w:spacing w:after="0"/>
              <w:rPr>
                <w:sz w:val="22"/>
                <w:szCs w:val="22"/>
                <w:color w:val="auto"/>
              </w:rPr>
            </w:pPr>
          </w:p>
        </w:tc>
      </w:tr>
      <w:tr>
        <w:trPr>
          <w:trHeight w:val="250"/>
        </w:trPr>
        <w:tc>
          <w:tcPr>
            <w:tcW w:w="52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572</w:t>
            </w:r>
          </w:p>
        </w:tc>
        <w:tc>
          <w:tcPr>
            <w:tcW w:w="60" w:type="dxa"/>
            <w:vAlign w:val="bottom"/>
          </w:tcPr>
          <w:p>
            <w:pPr>
              <w:spacing w:after="0"/>
              <w:rPr>
                <w:sz w:val="21"/>
                <w:szCs w:val="21"/>
                <w:color w:val="auto"/>
              </w:rPr>
            </w:pPr>
          </w:p>
        </w:tc>
      </w:tr>
      <w:tr>
        <w:trPr>
          <w:trHeight w:val="257"/>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Preferred stock</w:t>
            </w:r>
          </w:p>
        </w:tc>
        <w:tc>
          <w:tcPr>
            <w:tcW w:w="24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94,350</w:t>
            </w:r>
          </w:p>
        </w:tc>
        <w:tc>
          <w:tcPr>
            <w:tcW w:w="60" w:type="dxa"/>
            <w:vAlign w:val="bottom"/>
            <w:tcBorders>
              <w:bottom w:val="single" w:sz="8" w:color="CFF0FC"/>
            </w:tcBorders>
            <w:shd w:val="clear" w:color="auto" w:fill="CFF0FC"/>
          </w:tcPr>
          <w:p>
            <w:pPr>
              <w:spacing w:after="0"/>
              <w:rPr>
                <w:sz w:val="22"/>
                <w:szCs w:val="22"/>
                <w:color w:val="auto"/>
              </w:rPr>
            </w:pPr>
          </w:p>
        </w:tc>
      </w:tr>
      <w:tr>
        <w:trPr>
          <w:trHeight w:val="250"/>
        </w:trPr>
        <w:tc>
          <w:tcPr>
            <w:tcW w:w="5280" w:type="dxa"/>
            <w:vAlign w:val="bottom"/>
          </w:tcPr>
          <w:p>
            <w:pPr>
              <w:ind w:left="180"/>
              <w:spacing w:after="0"/>
              <w:rPr>
                <w:sz w:val="20"/>
                <w:szCs w:val="20"/>
                <w:color w:val="auto"/>
              </w:rPr>
            </w:pPr>
            <w:r>
              <w:rPr>
                <w:rFonts w:ascii="Arial" w:cs="Arial" w:eastAsia="Arial" w:hAnsi="Arial"/>
                <w:sz w:val="18"/>
                <w:szCs w:val="18"/>
                <w:color w:val="auto"/>
              </w:rPr>
              <w:t>Total purchase consideration</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189,138</w:t>
            </w:r>
          </w:p>
        </w:tc>
        <w:tc>
          <w:tcPr>
            <w:tcW w:w="60" w:type="dxa"/>
            <w:vAlign w:val="bottom"/>
          </w:tcPr>
          <w:p>
            <w:pPr>
              <w:spacing w:after="0"/>
              <w:rPr>
                <w:sz w:val="21"/>
                <w:szCs w:val="21"/>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-193675</wp:posOffset>
            </wp:positionV>
            <wp:extent cx="3429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A net cash amount of $89.5 million was financed through an amendment to the existing term loan under the credit and guarantee facility with HPS Investment Partners, LLC (“HPS”), an unrelated party. The additional draw has the same terms as the existing Facility including the maturity date. See Note 16 for additional information on the preferred stock issued in the connection with the acquisition of TrueBridge.</w:t>
      </w:r>
    </w:p>
    <w:p>
      <w:pPr>
        <w:spacing w:after="0" w:line="164"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Included in total consideration is $572 thousand of contingent consideration, representing the fair value of expected future payments on the date of the acquisition. The amount ultimately owed to the sellers is based on achieving specific fundraising targets, and all amounts under this arrangement were paid by October 2021. As of September 30, 2021, the fair value of the remaining contingent consideration totaled $209 thousand. For the nine months ended September 30, 2021, a total of $518 thousand was paid to the sellers of Truebridge and $134 thousand in expense was recognized in other income on the Consolidated Statements of Operations for the change in estimated value of the contingent consideration.</w:t>
      </w:r>
    </w:p>
    <w:p>
      <w:pPr>
        <w:spacing w:after="0" w:line="174"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In connection with the acquisition, the Company incurred a total of $1.7 million of acquisition-related expenses. Of the total acquisition-related expenses, $0 and $0 were recorded during the nine and three months ended September 30, 2021 and $1.6 and $1.2 million were recorded during the nine and three months ended September 30, 2020, respectively.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fair value of the net assets acquired as of the acquisition date:</w:t>
      </w:r>
    </w:p>
    <w:p>
      <w:pPr>
        <w:spacing w:after="0" w:line="257" w:lineRule="exact"/>
        <w:rPr>
          <w:sz w:val="20"/>
          <w:szCs w:val="20"/>
          <w:color w:val="auto"/>
        </w:rPr>
      </w:pPr>
    </w:p>
    <w:tbl>
      <w:tblPr>
        <w:tblLayout w:type="fixed"/>
        <w:tblInd w:w="520" w:type="dxa"/>
        <w:tblCellMar>
          <w:top w:w="0" w:type="dxa"/>
          <w:left w:w="0" w:type="dxa"/>
          <w:bottom w:w="0" w:type="dxa"/>
          <w:right w:w="0" w:type="dxa"/>
        </w:tblCellMar>
      </w:tblPr>
      <w:tr>
        <w:trPr>
          <w:trHeight w:val="192"/>
        </w:trPr>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2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Fair Value</w:t>
            </w:r>
          </w:p>
        </w:tc>
      </w:tr>
      <w:tr>
        <w:trPr>
          <w:trHeight w:val="256"/>
        </w:trPr>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460" w:type="dxa"/>
            <w:vAlign w:val="bottom"/>
            <w:tcBorders>
              <w:top w:val="single" w:sz="8" w:color="auto"/>
            </w:tcBorders>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840" w:type="dxa"/>
            <w:vAlign w:val="bottom"/>
            <w:tcBorders>
              <w:top w:val="single" w:sz="8" w:color="auto"/>
              <w:right w:val="single" w:sz="8" w:color="CFF0FC"/>
            </w:tcBorders>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50"/>
        </w:trPr>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1060" w:type="dxa"/>
            <w:vAlign w:val="bottom"/>
            <w:gridSpan w:val="2"/>
          </w:tcPr>
          <w:p>
            <w:pPr>
              <w:jc w:val="right"/>
              <w:ind w:right="276"/>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6,537</w:t>
            </w:r>
          </w:p>
        </w:tc>
        <w:tc>
          <w:tcPr>
            <w:tcW w:w="560" w:type="dxa"/>
            <w:vAlign w:val="bottom"/>
          </w:tcPr>
          <w:p>
            <w:pPr>
              <w:spacing w:after="0"/>
              <w:rPr>
                <w:sz w:val="21"/>
                <w:szCs w:val="21"/>
                <w:color w:val="auto"/>
              </w:rPr>
            </w:pPr>
          </w:p>
        </w:tc>
      </w:tr>
      <w:tr>
        <w:trPr>
          <w:trHeight w:val="263"/>
        </w:trPr>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000" w:type="dxa"/>
            <w:vAlign w:val="bottom"/>
            <w:tcBorders>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rPr>
              <w:t>14</w:t>
            </w:r>
          </w:p>
        </w:tc>
        <w:tc>
          <w:tcPr>
            <w:tcW w:w="560" w:type="dxa"/>
            <w:vAlign w:val="bottom"/>
          </w:tcPr>
          <w:p>
            <w:pPr>
              <w:spacing w:after="0"/>
              <w:rPr>
                <w:sz w:val="22"/>
                <w:szCs w:val="22"/>
                <w:color w:val="auto"/>
              </w:rPr>
            </w:pPr>
          </w:p>
        </w:tc>
      </w:tr>
      <w:tr>
        <w:trPr>
          <w:trHeight w:val="250"/>
        </w:trPr>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Due from related parties</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55</w:t>
            </w:r>
          </w:p>
        </w:tc>
        <w:tc>
          <w:tcPr>
            <w:tcW w:w="560" w:type="dxa"/>
            <w:vAlign w:val="bottom"/>
          </w:tcPr>
          <w:p>
            <w:pPr>
              <w:spacing w:after="0"/>
              <w:rPr>
                <w:sz w:val="21"/>
                <w:szCs w:val="21"/>
                <w:color w:val="auto"/>
              </w:rPr>
            </w:pPr>
          </w:p>
        </w:tc>
      </w:tr>
      <w:tr>
        <w:trPr>
          <w:trHeight w:val="263"/>
        </w:trPr>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Prepaid expenses and other</w:t>
            </w:r>
          </w:p>
        </w:tc>
        <w:tc>
          <w:tcPr>
            <w:tcW w:w="20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000" w:type="dxa"/>
            <w:vAlign w:val="bottom"/>
            <w:tcBorders>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rPr>
              <w:t>60</w:t>
            </w:r>
          </w:p>
        </w:tc>
        <w:tc>
          <w:tcPr>
            <w:tcW w:w="560" w:type="dxa"/>
            <w:vAlign w:val="bottom"/>
          </w:tcPr>
          <w:p>
            <w:pPr>
              <w:spacing w:after="0"/>
              <w:rPr>
                <w:sz w:val="22"/>
                <w:szCs w:val="22"/>
                <w:color w:val="auto"/>
              </w:rPr>
            </w:pPr>
          </w:p>
        </w:tc>
      </w:tr>
      <w:tr>
        <w:trPr>
          <w:trHeight w:val="250"/>
        </w:trPr>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1,061</w:t>
            </w:r>
          </w:p>
        </w:tc>
        <w:tc>
          <w:tcPr>
            <w:tcW w:w="560" w:type="dxa"/>
            <w:vAlign w:val="bottom"/>
          </w:tcPr>
          <w:p>
            <w:pPr>
              <w:spacing w:after="0"/>
              <w:rPr>
                <w:sz w:val="21"/>
                <w:szCs w:val="21"/>
                <w:color w:val="auto"/>
              </w:rPr>
            </w:pPr>
          </w:p>
        </w:tc>
      </w:tr>
      <w:tr>
        <w:trPr>
          <w:trHeight w:val="263"/>
        </w:trPr>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Right-of-use assets</w:t>
            </w:r>
          </w:p>
        </w:tc>
        <w:tc>
          <w:tcPr>
            <w:tcW w:w="20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000" w:type="dxa"/>
            <w:vAlign w:val="bottom"/>
            <w:tcBorders>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rPr>
              <w:t>1,627</w:t>
            </w:r>
          </w:p>
        </w:tc>
        <w:tc>
          <w:tcPr>
            <w:tcW w:w="560" w:type="dxa"/>
            <w:vAlign w:val="bottom"/>
          </w:tcPr>
          <w:p>
            <w:pPr>
              <w:spacing w:after="0"/>
              <w:rPr>
                <w:sz w:val="22"/>
                <w:szCs w:val="22"/>
                <w:color w:val="auto"/>
              </w:rPr>
            </w:pPr>
          </w:p>
        </w:tc>
      </w:tr>
      <w:tr>
        <w:trPr>
          <w:trHeight w:val="250"/>
        </w:trPr>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43,600</w:t>
            </w:r>
          </w:p>
        </w:tc>
        <w:tc>
          <w:tcPr>
            <w:tcW w:w="560" w:type="dxa"/>
            <w:vAlign w:val="bottom"/>
          </w:tcPr>
          <w:p>
            <w:pPr>
              <w:spacing w:after="0"/>
              <w:rPr>
                <w:sz w:val="21"/>
                <w:szCs w:val="21"/>
                <w:color w:val="auto"/>
              </w:rPr>
            </w:pPr>
          </w:p>
        </w:tc>
      </w:tr>
      <w:tr>
        <w:trPr>
          <w:trHeight w:val="290"/>
        </w:trPr>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Total assets acquired</w:t>
            </w:r>
          </w:p>
        </w:tc>
        <w:tc>
          <w:tcPr>
            <w:tcW w:w="200" w:type="dxa"/>
            <w:vAlign w:val="bottom"/>
            <w:shd w:val="clear" w:color="auto" w:fill="CFF0FC"/>
          </w:tcPr>
          <w:p>
            <w:pPr>
              <w:spacing w:after="0"/>
              <w:rPr>
                <w:sz w:val="24"/>
                <w:szCs w:val="24"/>
                <w:color w:val="auto"/>
              </w:rPr>
            </w:pPr>
          </w:p>
        </w:tc>
        <w:tc>
          <w:tcPr>
            <w:tcW w:w="1060" w:type="dxa"/>
            <w:vAlign w:val="bottom"/>
            <w:gridSpan w:val="2"/>
            <w:shd w:val="clear" w:color="auto" w:fill="CFF0FC"/>
          </w:tcPr>
          <w:p>
            <w:pPr>
              <w:jc w:val="right"/>
              <w:ind w:right="276"/>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rPr>
              <w:t>52,954</w:t>
            </w:r>
          </w:p>
        </w:tc>
        <w:tc>
          <w:tcPr>
            <w:tcW w:w="560" w:type="dxa"/>
            <w:vAlign w:val="bottom"/>
          </w:tcPr>
          <w:p>
            <w:pPr>
              <w:spacing w:after="0"/>
              <w:rPr>
                <w:sz w:val="24"/>
                <w:szCs w:val="24"/>
                <w:color w:val="auto"/>
              </w:rPr>
            </w:pPr>
          </w:p>
        </w:tc>
      </w:tr>
      <w:tr>
        <w:trPr>
          <w:trHeight w:val="237"/>
        </w:trPr>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8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top w:val="single" w:sz="8" w:color="CFF0FC"/>
            </w:tcBorders>
          </w:tcPr>
          <w:p>
            <w:pPr>
              <w:spacing w:after="0"/>
              <w:rPr>
                <w:sz w:val="20"/>
                <w:szCs w:val="20"/>
                <w:color w:val="auto"/>
              </w:rPr>
            </w:pPr>
          </w:p>
        </w:tc>
        <w:tc>
          <w:tcPr>
            <w:tcW w:w="600" w:type="dxa"/>
            <w:vAlign w:val="bottom"/>
            <w:tcBorders>
              <w:top w:val="single" w:sz="8" w:color="CFF0F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r>
      <w:tr>
        <w:trPr>
          <w:trHeight w:val="263"/>
        </w:trPr>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76"/>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rPr>
              <w:t>20</w:t>
            </w:r>
          </w:p>
        </w:tc>
        <w:tc>
          <w:tcPr>
            <w:tcW w:w="560" w:type="dxa"/>
            <w:vAlign w:val="bottom"/>
          </w:tcPr>
          <w:p>
            <w:pPr>
              <w:spacing w:after="0"/>
              <w:rPr>
                <w:sz w:val="22"/>
                <w:szCs w:val="22"/>
                <w:color w:val="auto"/>
              </w:rPr>
            </w:pPr>
          </w:p>
        </w:tc>
      </w:tr>
      <w:tr>
        <w:trPr>
          <w:trHeight w:val="250"/>
        </w:trPr>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323</w:t>
            </w:r>
          </w:p>
        </w:tc>
        <w:tc>
          <w:tcPr>
            <w:tcW w:w="560" w:type="dxa"/>
            <w:vAlign w:val="bottom"/>
          </w:tcPr>
          <w:p>
            <w:pPr>
              <w:spacing w:after="0"/>
              <w:rPr>
                <w:sz w:val="21"/>
                <w:szCs w:val="21"/>
                <w:color w:val="auto"/>
              </w:rPr>
            </w:pPr>
          </w:p>
        </w:tc>
      </w:tr>
      <w:tr>
        <w:trPr>
          <w:trHeight w:val="263"/>
        </w:trPr>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Deferred revenues</w:t>
            </w:r>
          </w:p>
        </w:tc>
        <w:tc>
          <w:tcPr>
            <w:tcW w:w="20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000" w:type="dxa"/>
            <w:vAlign w:val="bottom"/>
            <w:tcBorders>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rPr>
              <w:t>6,491</w:t>
            </w:r>
          </w:p>
        </w:tc>
        <w:tc>
          <w:tcPr>
            <w:tcW w:w="560" w:type="dxa"/>
            <w:vAlign w:val="bottom"/>
          </w:tcPr>
          <w:p>
            <w:pPr>
              <w:spacing w:after="0"/>
              <w:rPr>
                <w:sz w:val="22"/>
                <w:szCs w:val="22"/>
                <w:color w:val="auto"/>
              </w:rPr>
            </w:pPr>
          </w:p>
        </w:tc>
      </w:tr>
      <w:tr>
        <w:trPr>
          <w:trHeight w:val="250"/>
        </w:trPr>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Long-term lease obligation</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gridSpan w:val="2"/>
          </w:tcPr>
          <w:p>
            <w:pPr>
              <w:jc w:val="right"/>
              <w:ind w:right="8"/>
              <w:spacing w:after="0"/>
              <w:rPr>
                <w:sz w:val="20"/>
                <w:szCs w:val="20"/>
                <w:color w:val="auto"/>
              </w:rPr>
            </w:pPr>
            <w:r>
              <w:rPr>
                <w:rFonts w:ascii="Arial" w:cs="Arial" w:eastAsia="Arial" w:hAnsi="Arial"/>
                <w:sz w:val="18"/>
                <w:szCs w:val="18"/>
                <w:color w:val="auto"/>
              </w:rPr>
              <w:t>2,031</w:t>
            </w:r>
          </w:p>
        </w:tc>
        <w:tc>
          <w:tcPr>
            <w:tcW w:w="560" w:type="dxa"/>
            <w:vAlign w:val="bottom"/>
          </w:tcPr>
          <w:p>
            <w:pPr>
              <w:spacing w:after="0"/>
              <w:rPr>
                <w:sz w:val="21"/>
                <w:szCs w:val="21"/>
                <w:color w:val="auto"/>
              </w:rPr>
            </w:pPr>
          </w:p>
        </w:tc>
      </w:tr>
      <w:tr>
        <w:trPr>
          <w:trHeight w:val="257"/>
        </w:trPr>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Deferred tax liability</w:t>
            </w:r>
          </w:p>
        </w:tc>
        <w:tc>
          <w:tcPr>
            <w:tcW w:w="20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rPr>
              <w:t>5,518</w:t>
            </w:r>
          </w:p>
        </w:tc>
        <w:tc>
          <w:tcPr>
            <w:tcW w:w="560" w:type="dxa"/>
            <w:vAlign w:val="bottom"/>
          </w:tcPr>
          <w:p>
            <w:pPr>
              <w:spacing w:after="0"/>
              <w:rPr>
                <w:sz w:val="22"/>
                <w:szCs w:val="22"/>
                <w:color w:val="auto"/>
              </w:rPr>
            </w:pPr>
          </w:p>
        </w:tc>
      </w:tr>
      <w:tr>
        <w:trPr>
          <w:trHeight w:val="250"/>
        </w:trPr>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8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Borders>
              <w:bottom w:val="single" w:sz="8" w:color="auto"/>
            </w:tcBorders>
          </w:tcPr>
          <w:p>
            <w:pPr>
              <w:jc w:val="right"/>
              <w:ind w:right="27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14,383</w:t>
            </w:r>
          </w:p>
        </w:tc>
        <w:tc>
          <w:tcPr>
            <w:tcW w:w="560" w:type="dxa"/>
            <w:vAlign w:val="bottom"/>
          </w:tcPr>
          <w:p>
            <w:pPr>
              <w:spacing w:after="0"/>
              <w:rPr>
                <w:sz w:val="21"/>
                <w:szCs w:val="21"/>
                <w:color w:val="auto"/>
              </w:rPr>
            </w:pPr>
          </w:p>
        </w:tc>
      </w:tr>
      <w:tr>
        <w:trPr>
          <w:trHeight w:val="257"/>
        </w:trPr>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56"/>
        </w:trPr>
        <w:tc>
          <w:tcPr>
            <w:tcW w:w="1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4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identifiable assets acquired</w:t>
            </w:r>
          </w:p>
        </w:tc>
        <w:tc>
          <w:tcPr>
            <w:tcW w:w="2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276"/>
              <w:spacing w:after="0"/>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rPr>
              <w:t>38,571</w:t>
            </w:r>
          </w:p>
        </w:tc>
        <w:tc>
          <w:tcPr>
            <w:tcW w:w="560" w:type="dxa"/>
            <w:vAlign w:val="bottom"/>
          </w:tcPr>
          <w:p>
            <w:pPr>
              <w:spacing w:after="0"/>
              <w:rPr>
                <w:sz w:val="22"/>
                <w:szCs w:val="22"/>
                <w:color w:val="auto"/>
              </w:rPr>
            </w:pPr>
          </w:p>
        </w:tc>
      </w:tr>
      <w:tr>
        <w:trPr>
          <w:trHeight w:val="250"/>
        </w:trPr>
        <w:tc>
          <w:tcPr>
            <w:tcW w:w="1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150,567</w:t>
            </w:r>
          </w:p>
        </w:tc>
        <w:tc>
          <w:tcPr>
            <w:tcW w:w="560" w:type="dxa"/>
            <w:vAlign w:val="bottom"/>
          </w:tcPr>
          <w:p>
            <w:pPr>
              <w:spacing w:after="0"/>
              <w:rPr>
                <w:sz w:val="21"/>
                <w:szCs w:val="21"/>
                <w:color w:val="auto"/>
              </w:rPr>
            </w:pPr>
          </w:p>
        </w:tc>
      </w:tr>
      <w:tr>
        <w:trPr>
          <w:trHeight w:val="290"/>
        </w:trPr>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assets acquired</w:t>
            </w:r>
          </w:p>
        </w:tc>
        <w:tc>
          <w:tcPr>
            <w:tcW w:w="20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6"/>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CFF0FC"/>
            </w:tcBorders>
            <w:gridSpan w:val="2"/>
            <w:shd w:val="clear" w:color="auto" w:fill="CFF0FC"/>
          </w:tcPr>
          <w:p>
            <w:pPr>
              <w:jc w:val="right"/>
              <w:ind w:right="8"/>
              <w:spacing w:after="0"/>
              <w:rPr>
                <w:sz w:val="20"/>
                <w:szCs w:val="20"/>
                <w:color w:val="auto"/>
              </w:rPr>
            </w:pPr>
            <w:r>
              <w:rPr>
                <w:rFonts w:ascii="Arial" w:cs="Arial" w:eastAsia="Arial" w:hAnsi="Arial"/>
                <w:sz w:val="18"/>
                <w:szCs w:val="18"/>
                <w:color w:val="auto"/>
              </w:rPr>
              <w:t>189,138</w:t>
            </w:r>
          </w:p>
        </w:tc>
        <w:tc>
          <w:tcPr>
            <w:tcW w:w="560" w:type="dxa"/>
            <w:vAlign w:val="bottom"/>
          </w:tcPr>
          <w:p>
            <w:pPr>
              <w:spacing w:after="0"/>
              <w:rPr>
                <w:sz w:val="24"/>
                <w:szCs w:val="24"/>
                <w:color w:val="auto"/>
              </w:rPr>
            </w:pPr>
          </w:p>
        </w:tc>
      </w:tr>
      <w:tr>
        <w:trPr>
          <w:trHeight w:val="446"/>
        </w:trPr>
        <w:tc>
          <w:tcPr>
            <w:tcW w:w="6220" w:type="dxa"/>
            <w:vAlign w:val="bottom"/>
            <w:gridSpan w:val="3"/>
          </w:tcPr>
          <w:p>
            <w:pPr>
              <w:spacing w:after="0"/>
              <w:rPr>
                <w:sz w:val="20"/>
                <w:szCs w:val="20"/>
                <w:color w:val="auto"/>
              </w:rPr>
            </w:pPr>
            <w:r>
              <w:rPr>
                <w:rFonts w:ascii="Arial" w:cs="Arial" w:eastAsia="Arial" w:hAnsi="Arial"/>
                <w:sz w:val="18"/>
                <w:szCs w:val="18"/>
                <w:color w:val="auto"/>
                <w:w w:val="93"/>
              </w:rPr>
              <w:t>The following table presents the fair value of identifiable intangible assets acquired:</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20"/>
        </w:trPr>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Weighted-</w:t>
            </w: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Average</w:t>
            </w: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Amortization</w:t>
            </w:r>
          </w:p>
        </w:tc>
      </w:tr>
      <w:tr>
        <w:trPr>
          <w:trHeight w:val="209"/>
        </w:trPr>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236"/>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8"/>
                <w:szCs w:val="18"/>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Period</w:t>
            </w:r>
          </w:p>
        </w:tc>
      </w:tr>
      <w:tr>
        <w:trPr>
          <w:trHeight w:val="256"/>
        </w:trPr>
        <w:tc>
          <w:tcPr>
            <w:tcW w:w="1180" w:type="dxa"/>
            <w:vAlign w:val="bottom"/>
          </w:tcPr>
          <w:p>
            <w:pPr>
              <w:spacing w:after="0"/>
              <w:rPr>
                <w:sz w:val="22"/>
                <w:szCs w:val="22"/>
                <w:color w:val="auto"/>
              </w:rPr>
            </w:pPr>
          </w:p>
        </w:tc>
        <w:tc>
          <w:tcPr>
            <w:tcW w:w="5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Value of management contracts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34,100</w:t>
            </w:r>
          </w:p>
        </w:tc>
        <w:tc>
          <w:tcPr>
            <w:tcW w:w="15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r>
      <w:tr>
        <w:trPr>
          <w:trHeight w:val="250"/>
        </w:trPr>
        <w:tc>
          <w:tcPr>
            <w:tcW w:w="1180" w:type="dxa"/>
            <w:vAlign w:val="bottom"/>
          </w:tcPr>
          <w:p>
            <w:pPr>
              <w:spacing w:after="0"/>
              <w:rPr>
                <w:sz w:val="21"/>
                <w:szCs w:val="21"/>
                <w:color w:val="auto"/>
              </w:rPr>
            </w:pPr>
          </w:p>
        </w:tc>
        <w:tc>
          <w:tcPr>
            <w:tcW w:w="5040" w:type="dxa"/>
            <w:vAlign w:val="bottom"/>
            <w:gridSpan w:val="2"/>
          </w:tcPr>
          <w:p>
            <w:pPr>
              <w:spacing w:after="0"/>
              <w:rPr>
                <w:sz w:val="20"/>
                <w:szCs w:val="20"/>
                <w:color w:val="auto"/>
              </w:rPr>
            </w:pPr>
            <w:r>
              <w:rPr>
                <w:rFonts w:ascii="Arial" w:cs="Arial" w:eastAsia="Arial" w:hAnsi="Arial"/>
                <w:sz w:val="18"/>
                <w:szCs w:val="18"/>
                <w:color w:val="auto"/>
              </w:rPr>
              <w:t>Value of trade name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7,300</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r>
      <w:tr>
        <w:trPr>
          <w:trHeight w:val="263"/>
        </w:trPr>
        <w:tc>
          <w:tcPr>
            <w:tcW w:w="1180" w:type="dxa"/>
            <w:vAlign w:val="bottom"/>
          </w:tcPr>
          <w:p>
            <w:pPr>
              <w:spacing w:after="0"/>
              <w:rPr>
                <w:sz w:val="22"/>
                <w:szCs w:val="22"/>
                <w:color w:val="auto"/>
              </w:rPr>
            </w:pPr>
          </w:p>
        </w:tc>
        <w:tc>
          <w:tcPr>
            <w:tcW w:w="504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Value of technology</w:t>
            </w:r>
          </w:p>
        </w:tc>
        <w:tc>
          <w:tcPr>
            <w:tcW w:w="20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2,200</w:t>
            </w:r>
          </w:p>
        </w:tc>
        <w:tc>
          <w:tcPr>
            <w:tcW w:w="1560" w:type="dxa"/>
            <w:vAlign w:val="bottom"/>
            <w:tcBorders>
              <w:bottom w:val="single" w:sz="8" w:color="CFF0FC"/>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w:t>
            </w:r>
          </w:p>
        </w:tc>
      </w:tr>
      <w:tr>
        <w:trPr>
          <w:trHeight w:val="243"/>
        </w:trPr>
        <w:tc>
          <w:tcPr>
            <w:tcW w:w="1180" w:type="dxa"/>
            <w:vAlign w:val="bottom"/>
          </w:tcPr>
          <w:p>
            <w:pPr>
              <w:spacing w:after="0"/>
              <w:rPr>
                <w:sz w:val="21"/>
                <w:szCs w:val="21"/>
                <w:color w:val="auto"/>
              </w:rPr>
            </w:pPr>
          </w:p>
        </w:tc>
        <w:tc>
          <w:tcPr>
            <w:tcW w:w="5040" w:type="dxa"/>
            <w:vAlign w:val="bottom"/>
            <w:gridSpan w:val="2"/>
          </w:tcPr>
          <w:p>
            <w:pPr>
              <w:ind w:left="180"/>
              <w:spacing w:after="0"/>
              <w:rPr>
                <w:sz w:val="20"/>
                <w:szCs w:val="20"/>
                <w:color w:val="auto"/>
              </w:rPr>
            </w:pPr>
            <w:r>
              <w:rPr>
                <w:rFonts w:ascii="Arial" w:cs="Arial" w:eastAsia="Arial" w:hAnsi="Arial"/>
                <w:sz w:val="18"/>
                <w:szCs w:val="18"/>
                <w:color w:val="auto"/>
              </w:rPr>
              <w:t>Total identifiable intangible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43,600</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-3514090</wp:posOffset>
            </wp:positionV>
            <wp:extent cx="3429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-3496945</wp:posOffset>
            </wp:positionV>
            <wp:extent cx="342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-2508250</wp:posOffset>
            </wp:positionV>
            <wp:extent cx="3429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-1671320</wp:posOffset>
            </wp:positionV>
            <wp:extent cx="342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-1653540</wp:posOffset>
            </wp:positionV>
            <wp:extent cx="342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-193675</wp:posOffset>
            </wp:positionV>
            <wp:extent cx="10287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color w:val="auto"/>
        </w:rPr>
        <w:t>The goodwill recorded as part of the acquisition includes the expected benefits that management believes will result from the acquisition, including the Company’s build out of its investment product offering. Approximately $73.7 million of goodwill is expected to be deductible for tax purposes.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Enhanced</w:t>
      </w:r>
    </w:p>
    <w:p>
      <w:pPr>
        <w:spacing w:after="0" w:line="135"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On December 14, 2020, the Company completed the acquisition of 100% of the equity interest in ECG and a non-controlling interest in ECP’s outstanding equity, comprised of a 49% voting interest and a 50% economic interest, for total consideration of $111.0 million. The consideration included cash, estimated working capital adjustments and preferred stock of P10 Intermediate. ECG is an alternative asset manager and provider of tax credit transaction and consulting services focused on underserved areas and other socially responsible end markets such as renewable energy (impact investing). The alternative asset management business includes providing management, transaction, and consulting services to various entities which have historically been wholly owned by subsidiaries and affiliates of ECG. ECP’s primary business is to participate in various state sponsored premium tax credit investment programs through debt, equity, and equity-related investments. The acquisition of ECG was accounted for as a business combination under the acquisition method of accounting pursuant to ASC 805, while ECP is reported as an unconsolidated investee of P10 and accounted for under the equity method of accounting.</w:t>
      </w:r>
    </w:p>
    <w:p>
      <w:pPr>
        <w:spacing w:after="0" w:line="194" w:lineRule="exact"/>
        <w:rPr>
          <w:sz w:val="20"/>
          <w:szCs w:val="20"/>
          <w:color w:val="auto"/>
        </w:rPr>
      </w:pPr>
    </w:p>
    <w:p>
      <w:pPr>
        <w:jc w:val="both"/>
        <w:ind w:right="20" w:firstLine="509"/>
        <w:spacing w:after="0" w:line="266" w:lineRule="auto"/>
        <w:rPr>
          <w:sz w:val="20"/>
          <w:szCs w:val="20"/>
          <w:color w:val="auto"/>
        </w:rPr>
      </w:pPr>
      <w:r>
        <w:rPr>
          <w:rFonts w:ascii="Arial" w:cs="Arial" w:eastAsia="Arial" w:hAnsi="Arial"/>
          <w:sz w:val="18"/>
          <w:szCs w:val="18"/>
          <w:color w:val="auto"/>
        </w:rPr>
        <w:t>Upon the completion of the acquisitions, certain agreements contemplated in the Securities Purchase Agreement became effective immediately upon the closing of the acquisitions. The allocation of the consideration paid for the assets acquired and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liabilities assumed takes into consideration the fact that these agreements occurred contemporaneously with the closing of the acquisitions.</w:t>
      </w:r>
    </w:p>
    <w:p>
      <w:pPr>
        <w:spacing w:after="0" w:line="239"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6"/>
          <w:szCs w:val="16"/>
          <w:color w:val="auto"/>
        </w:rPr>
        <w:t>Prior to and through the date of the acquisition by the Company, ECG had certain consolidated subsidiaries and funds whose primary activities consisted of issuing qualified debt or equity instruments to tax credit investors in order to make investments in qualified businesses, which are referred to as the “Permanent Capital Subsidiaries.” Pursuant to a Reorganization Agreement, upon the closing of P10’s acquisition of ECG, the Permanent Capital Subsidiaries were contributed by ECG to Enhanced Permanent Capital, LLC (“Enhanced PC”), a newly formed entity. In exchange for this contribution of the Permanent Capital Subsidiaries, ECG obtained a non-controlling equity interest in Enhanced PC. The ownership in Enhanced PC was evaluated by management, and it was determined to be a variable interest. However, ECG was concluded to not be the primary beneficiary of Enhanced PC and, accordingly, Enhanced PC is not consolidated by ECG. Rather, the interest in Enhanced PC is reflected as an equity method investment by ECG. In addition to the Reorganization Agreement, see Note 11 for information on the Advisory Agreement and Administrative Services Agreement.</w:t>
      </w:r>
    </w:p>
    <w:p>
      <w:pPr>
        <w:spacing w:after="0" w:line="163"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The acquisition of the equity interests in ECG and ECP were negotiated simultaneously for a single purchase price. The following tables illustrate the consideration paid for Enhanced, and the allocation of the purchase price to the acquired assets and assumed liabilities.</w:t>
      </w:r>
    </w:p>
    <w:p>
      <w:pPr>
        <w:spacing w:after="0" w:line="188" w:lineRule="exact"/>
        <w:rPr>
          <w:sz w:val="20"/>
          <w:szCs w:val="20"/>
          <w:color w:val="auto"/>
        </w:rPr>
      </w:pPr>
    </w:p>
    <w:tbl>
      <w:tblPr>
        <w:tblLayout w:type="fixed"/>
        <w:tblInd w:w="2260" w:type="dxa"/>
        <w:tblCellMar>
          <w:top w:w="0" w:type="dxa"/>
          <w:left w:w="0" w:type="dxa"/>
          <w:bottom w:w="0" w:type="dxa"/>
          <w:right w:w="0" w:type="dxa"/>
        </w:tblCellMar>
      </w:tblPr>
      <w:tr>
        <w:trPr>
          <w:trHeight w:val="192"/>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6"/>
                <w:szCs w:val="16"/>
                <w:color w:val="auto"/>
              </w:rPr>
            </w:pPr>
          </w:p>
        </w:tc>
      </w:tr>
      <w:tr>
        <w:trPr>
          <w:trHeight w:val="256"/>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82,596</w:t>
            </w:r>
          </w:p>
        </w:tc>
        <w:tc>
          <w:tcPr>
            <w:tcW w:w="60" w:type="dxa"/>
            <w:vAlign w:val="bottom"/>
            <w:shd w:val="clear" w:color="auto" w:fill="CFF0FC"/>
          </w:tcPr>
          <w:p>
            <w:pPr>
              <w:spacing w:after="0"/>
              <w:rPr>
                <w:sz w:val="22"/>
                <w:szCs w:val="22"/>
                <w:color w:val="auto"/>
              </w:rPr>
            </w:pPr>
          </w:p>
        </w:tc>
      </w:tr>
      <w:tr>
        <w:trPr>
          <w:trHeight w:val="250"/>
        </w:trPr>
        <w:tc>
          <w:tcPr>
            <w:tcW w:w="5280" w:type="dxa"/>
            <w:vAlign w:val="bottom"/>
          </w:tcPr>
          <w:p>
            <w:pPr>
              <w:spacing w:after="0"/>
              <w:rPr>
                <w:sz w:val="20"/>
                <w:szCs w:val="20"/>
                <w:color w:val="auto"/>
              </w:rPr>
            </w:pPr>
            <w:r>
              <w:rPr>
                <w:rFonts w:ascii="Arial" w:cs="Arial" w:eastAsia="Arial" w:hAnsi="Arial"/>
                <w:sz w:val="18"/>
                <w:szCs w:val="18"/>
                <w:color w:val="auto"/>
              </w:rPr>
              <w:t>Estimated post-closing working capital adjustment</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1,519</w:t>
            </w:r>
          </w:p>
        </w:tc>
        <w:tc>
          <w:tcPr>
            <w:tcW w:w="60" w:type="dxa"/>
            <w:vAlign w:val="bottom"/>
          </w:tcPr>
          <w:p>
            <w:pPr>
              <w:spacing w:after="0"/>
              <w:rPr>
                <w:sz w:val="21"/>
                <w:szCs w:val="21"/>
                <w:color w:val="auto"/>
              </w:rPr>
            </w:pPr>
          </w:p>
        </w:tc>
      </w:tr>
      <w:tr>
        <w:trPr>
          <w:trHeight w:val="257"/>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Preferred stock</w:t>
            </w:r>
          </w:p>
        </w:tc>
        <w:tc>
          <w:tcPr>
            <w:tcW w:w="24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26,904</w:t>
            </w:r>
          </w:p>
        </w:tc>
        <w:tc>
          <w:tcPr>
            <w:tcW w:w="60" w:type="dxa"/>
            <w:vAlign w:val="bottom"/>
            <w:tcBorders>
              <w:bottom w:val="single" w:sz="8" w:color="CFF0FC"/>
            </w:tcBorders>
            <w:shd w:val="clear" w:color="auto" w:fill="CFF0FC"/>
          </w:tcPr>
          <w:p>
            <w:pPr>
              <w:spacing w:after="0"/>
              <w:rPr>
                <w:sz w:val="22"/>
                <w:szCs w:val="22"/>
                <w:color w:val="auto"/>
              </w:rPr>
            </w:pPr>
          </w:p>
        </w:tc>
      </w:tr>
      <w:tr>
        <w:trPr>
          <w:trHeight w:val="250"/>
        </w:trPr>
        <w:tc>
          <w:tcPr>
            <w:tcW w:w="5280" w:type="dxa"/>
            <w:vAlign w:val="bottom"/>
          </w:tcPr>
          <w:p>
            <w:pPr>
              <w:ind w:left="180"/>
              <w:spacing w:after="0"/>
              <w:rPr>
                <w:sz w:val="20"/>
                <w:szCs w:val="20"/>
                <w:color w:val="auto"/>
              </w:rPr>
            </w:pPr>
            <w:r>
              <w:rPr>
                <w:rFonts w:ascii="Arial" w:cs="Arial" w:eastAsia="Arial" w:hAnsi="Arial"/>
                <w:sz w:val="18"/>
                <w:szCs w:val="18"/>
                <w:color w:val="auto"/>
              </w:rPr>
              <w:t>Total purchase consideration</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111,019</w:t>
            </w:r>
          </w:p>
        </w:tc>
        <w:tc>
          <w:tcPr>
            <w:tcW w:w="60" w:type="dxa"/>
            <w:vAlign w:val="bottom"/>
          </w:tcPr>
          <w:p>
            <w:pPr>
              <w:spacing w:after="0"/>
              <w:rPr>
                <w:sz w:val="21"/>
                <w:szCs w:val="21"/>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-193675</wp:posOffset>
            </wp:positionV>
            <wp:extent cx="3429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A total of $66.6 million of the cash consideration was financed through an amendment to the existing term loan under the Facility with HPS. The additional draw has the same terms as the existing Facility, including the maturity date. See Note 16 for additional information on the preferred stock issued in the connection with the acquisition of Enhanced.</w:t>
      </w:r>
    </w:p>
    <w:p>
      <w:pPr>
        <w:spacing w:after="0" w:line="183"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color w:val="auto"/>
        </w:rPr>
        <w:t>In connection with the acquisition, the Company incurred a total of $3.7 million of acquisition-related expenses. Of the total acquisition-related expenses, $77 thousand and $0 were recorded during the nine and three months ended September 30, 2021 and $0 and $0 million were recorded during the nine and three months ended September 30, 2020, respectively. These costs are included in professional fees on our Consolidated Statements of Operations.</w:t>
      </w:r>
    </w:p>
    <w:p>
      <w:pPr>
        <w:spacing w:after="0" w:line="148"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The acquisition date fair values of certain assets and liabilities, including intangible assets acquired and related weighted average expected lives and deferred income taxes, are provisional and subject to revision within one year of the acquisition date. As such, our estimates of fair values are pending finalization, which may result in adjustments to goodwill.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provisional fair value of the net assets acquired as of the acquisition date:</w:t>
      </w:r>
    </w:p>
    <w:p>
      <w:pPr>
        <w:spacing w:after="0" w:line="257" w:lineRule="exact"/>
        <w:rPr>
          <w:sz w:val="20"/>
          <w:szCs w:val="20"/>
          <w:color w:val="auto"/>
        </w:rPr>
      </w:pPr>
    </w:p>
    <w:tbl>
      <w:tblPr>
        <w:tblLayout w:type="fixed"/>
        <w:tblInd w:w="2260" w:type="dxa"/>
        <w:tblCellMar>
          <w:top w:w="0" w:type="dxa"/>
          <w:left w:w="0" w:type="dxa"/>
          <w:bottom w:w="0" w:type="dxa"/>
          <w:right w:w="0" w:type="dxa"/>
        </w:tblCellMar>
      </w:tblPr>
      <w:tr>
        <w:trPr>
          <w:trHeight w:val="192"/>
        </w:trPr>
        <w:tc>
          <w:tcPr>
            <w:tcW w:w="5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6"/>
                <w:szCs w:val="16"/>
                <w:color w:val="auto"/>
              </w:rPr>
            </w:pPr>
          </w:p>
        </w:tc>
      </w:tr>
      <w:tr>
        <w:trPr>
          <w:trHeight w:val="256"/>
        </w:trPr>
        <w:tc>
          <w:tcPr>
            <w:tcW w:w="53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50"/>
        </w:trPr>
        <w:tc>
          <w:tcPr>
            <w:tcW w:w="53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2,752</w:t>
            </w:r>
          </w:p>
        </w:tc>
        <w:tc>
          <w:tcPr>
            <w:tcW w:w="60" w:type="dxa"/>
            <w:vAlign w:val="bottom"/>
          </w:tcPr>
          <w:p>
            <w:pPr>
              <w:spacing w:after="0"/>
              <w:rPr>
                <w:sz w:val="21"/>
                <w:szCs w:val="21"/>
                <w:color w:val="auto"/>
              </w:rPr>
            </w:pPr>
          </w:p>
        </w:tc>
      </w:tr>
      <w:tr>
        <w:trPr>
          <w:trHeight w:val="263"/>
        </w:trPr>
        <w:tc>
          <w:tcPr>
            <w:tcW w:w="53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60" w:type="dxa"/>
            <w:vAlign w:val="bottom"/>
            <w:shd w:val="clear" w:color="auto" w:fill="CFF0FC"/>
          </w:tcPr>
          <w:p>
            <w:pPr>
              <w:spacing w:after="0"/>
              <w:rPr>
                <w:sz w:val="22"/>
                <w:szCs w:val="22"/>
                <w:color w:val="auto"/>
              </w:rPr>
            </w:pPr>
          </w:p>
        </w:tc>
      </w:tr>
      <w:tr>
        <w:trPr>
          <w:trHeight w:val="250"/>
        </w:trPr>
        <w:tc>
          <w:tcPr>
            <w:tcW w:w="530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3,424</w:t>
            </w:r>
          </w:p>
        </w:tc>
        <w:tc>
          <w:tcPr>
            <w:tcW w:w="60" w:type="dxa"/>
            <w:vAlign w:val="bottom"/>
          </w:tcPr>
          <w:p>
            <w:pPr>
              <w:spacing w:after="0"/>
              <w:rPr>
                <w:sz w:val="21"/>
                <w:szCs w:val="21"/>
                <w:color w:val="auto"/>
              </w:rPr>
            </w:pPr>
          </w:p>
        </w:tc>
      </w:tr>
      <w:tr>
        <w:trPr>
          <w:trHeight w:val="263"/>
        </w:trPr>
        <w:tc>
          <w:tcPr>
            <w:tcW w:w="53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Due from related parties</w:t>
            </w:r>
          </w:p>
        </w:tc>
        <w:tc>
          <w:tcPr>
            <w:tcW w:w="2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60" w:type="dxa"/>
            <w:vAlign w:val="bottom"/>
            <w:shd w:val="clear" w:color="auto" w:fill="CFF0FC"/>
          </w:tcPr>
          <w:p>
            <w:pPr>
              <w:spacing w:after="0"/>
              <w:rPr>
                <w:sz w:val="22"/>
                <w:szCs w:val="22"/>
                <w:color w:val="auto"/>
              </w:rPr>
            </w:pPr>
          </w:p>
        </w:tc>
      </w:tr>
      <w:tr>
        <w:trPr>
          <w:trHeight w:val="250"/>
        </w:trPr>
        <w:tc>
          <w:tcPr>
            <w:tcW w:w="530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2,099</w:t>
            </w:r>
          </w:p>
        </w:tc>
        <w:tc>
          <w:tcPr>
            <w:tcW w:w="60" w:type="dxa"/>
            <w:vAlign w:val="bottom"/>
          </w:tcPr>
          <w:p>
            <w:pPr>
              <w:spacing w:after="0"/>
              <w:rPr>
                <w:sz w:val="21"/>
                <w:szCs w:val="21"/>
                <w:color w:val="auto"/>
              </w:rPr>
            </w:pPr>
          </w:p>
        </w:tc>
      </w:tr>
      <w:tr>
        <w:trPr>
          <w:trHeight w:val="263"/>
        </w:trPr>
        <w:tc>
          <w:tcPr>
            <w:tcW w:w="53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Investment in unconsolidated subsidiaries</w:t>
            </w:r>
          </w:p>
        </w:tc>
        <w:tc>
          <w:tcPr>
            <w:tcW w:w="2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2,158</w:t>
            </w:r>
          </w:p>
        </w:tc>
        <w:tc>
          <w:tcPr>
            <w:tcW w:w="60" w:type="dxa"/>
            <w:vAlign w:val="bottom"/>
            <w:shd w:val="clear" w:color="auto" w:fill="CFF0FC"/>
          </w:tcPr>
          <w:p>
            <w:pPr>
              <w:spacing w:after="0"/>
              <w:rPr>
                <w:sz w:val="22"/>
                <w:szCs w:val="22"/>
                <w:color w:val="auto"/>
              </w:rPr>
            </w:pPr>
          </w:p>
        </w:tc>
      </w:tr>
      <w:tr>
        <w:trPr>
          <w:trHeight w:val="250"/>
        </w:trPr>
        <w:tc>
          <w:tcPr>
            <w:tcW w:w="530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36,820</w:t>
            </w:r>
          </w:p>
        </w:tc>
        <w:tc>
          <w:tcPr>
            <w:tcW w:w="60" w:type="dxa"/>
            <w:vAlign w:val="bottom"/>
          </w:tcPr>
          <w:p>
            <w:pPr>
              <w:spacing w:after="0"/>
              <w:rPr>
                <w:sz w:val="21"/>
                <w:szCs w:val="21"/>
                <w:color w:val="auto"/>
              </w:rPr>
            </w:pPr>
          </w:p>
        </w:tc>
      </w:tr>
      <w:tr>
        <w:trPr>
          <w:trHeight w:val="290"/>
        </w:trPr>
        <w:tc>
          <w:tcPr>
            <w:tcW w:w="53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assets acquired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47,764</w:t>
            </w:r>
          </w:p>
        </w:tc>
        <w:tc>
          <w:tcPr>
            <w:tcW w:w="60" w:type="dxa"/>
            <w:vAlign w:val="bottom"/>
            <w:tcBorders>
              <w:bottom w:val="single" w:sz="8" w:color="CFF0FC"/>
            </w:tcBorders>
            <w:shd w:val="clear" w:color="auto" w:fill="CFF0FC"/>
          </w:tcPr>
          <w:p>
            <w:pPr>
              <w:spacing w:after="0"/>
              <w:rPr>
                <w:sz w:val="24"/>
                <w:szCs w:val="24"/>
                <w:color w:val="auto"/>
              </w:rPr>
            </w:pPr>
          </w:p>
        </w:tc>
      </w:tr>
      <w:tr>
        <w:trPr>
          <w:trHeight w:val="237"/>
        </w:trPr>
        <w:tc>
          <w:tcPr>
            <w:tcW w:w="53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3"/>
        </w:trPr>
        <w:tc>
          <w:tcPr>
            <w:tcW w:w="53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551</w:t>
            </w:r>
          </w:p>
        </w:tc>
        <w:tc>
          <w:tcPr>
            <w:tcW w:w="60" w:type="dxa"/>
            <w:vAlign w:val="bottom"/>
            <w:shd w:val="clear" w:color="auto" w:fill="CFF0FC"/>
          </w:tcPr>
          <w:p>
            <w:pPr>
              <w:spacing w:after="0"/>
              <w:rPr>
                <w:sz w:val="22"/>
                <w:szCs w:val="22"/>
                <w:color w:val="auto"/>
              </w:rPr>
            </w:pPr>
          </w:p>
        </w:tc>
      </w:tr>
      <w:tr>
        <w:trPr>
          <w:trHeight w:val="250"/>
        </w:trPr>
        <w:tc>
          <w:tcPr>
            <w:tcW w:w="530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288</w:t>
            </w:r>
          </w:p>
        </w:tc>
        <w:tc>
          <w:tcPr>
            <w:tcW w:w="60" w:type="dxa"/>
            <w:vAlign w:val="bottom"/>
          </w:tcPr>
          <w:p>
            <w:pPr>
              <w:spacing w:after="0"/>
              <w:rPr>
                <w:sz w:val="21"/>
                <w:szCs w:val="21"/>
                <w:color w:val="auto"/>
              </w:rPr>
            </w:pPr>
          </w:p>
        </w:tc>
      </w:tr>
      <w:tr>
        <w:trPr>
          <w:trHeight w:val="263"/>
        </w:trPr>
        <w:tc>
          <w:tcPr>
            <w:tcW w:w="53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Deferred revenues</w:t>
            </w:r>
          </w:p>
        </w:tc>
        <w:tc>
          <w:tcPr>
            <w:tcW w:w="2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2,110</w:t>
            </w:r>
          </w:p>
        </w:tc>
        <w:tc>
          <w:tcPr>
            <w:tcW w:w="60" w:type="dxa"/>
            <w:vAlign w:val="bottom"/>
            <w:shd w:val="clear" w:color="auto" w:fill="CFF0FC"/>
          </w:tcPr>
          <w:p>
            <w:pPr>
              <w:spacing w:after="0"/>
              <w:rPr>
                <w:sz w:val="22"/>
                <w:szCs w:val="22"/>
                <w:color w:val="auto"/>
              </w:rPr>
            </w:pPr>
          </w:p>
        </w:tc>
      </w:tr>
      <w:tr>
        <w:trPr>
          <w:trHeight w:val="250"/>
        </w:trPr>
        <w:tc>
          <w:tcPr>
            <w:tcW w:w="5300" w:type="dxa"/>
            <w:vAlign w:val="bottom"/>
          </w:tcPr>
          <w:p>
            <w:pPr>
              <w:ind w:left="180"/>
              <w:spacing w:after="0"/>
              <w:rPr>
                <w:sz w:val="20"/>
                <w:szCs w:val="20"/>
                <w:color w:val="auto"/>
              </w:rPr>
            </w:pPr>
            <w:r>
              <w:rPr>
                <w:rFonts w:ascii="Arial" w:cs="Arial" w:eastAsia="Arial" w:hAnsi="Arial"/>
                <w:sz w:val="18"/>
                <w:szCs w:val="18"/>
                <w:color w:val="auto"/>
              </w:rPr>
              <w:t>Due to related parties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2,059</w:t>
            </w:r>
          </w:p>
        </w:tc>
        <w:tc>
          <w:tcPr>
            <w:tcW w:w="60" w:type="dxa"/>
            <w:vAlign w:val="bottom"/>
          </w:tcPr>
          <w:p>
            <w:pPr>
              <w:spacing w:after="0"/>
              <w:rPr>
                <w:sz w:val="21"/>
                <w:szCs w:val="21"/>
                <w:color w:val="auto"/>
              </w:rPr>
            </w:pPr>
          </w:p>
        </w:tc>
      </w:tr>
      <w:tr>
        <w:trPr>
          <w:trHeight w:val="263"/>
        </w:trPr>
        <w:tc>
          <w:tcPr>
            <w:tcW w:w="53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Debt obligations</w:t>
            </w:r>
          </w:p>
        </w:tc>
        <w:tc>
          <w:tcPr>
            <w:tcW w:w="2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1,693</w:t>
            </w:r>
          </w:p>
        </w:tc>
        <w:tc>
          <w:tcPr>
            <w:tcW w:w="60" w:type="dxa"/>
            <w:vAlign w:val="bottom"/>
            <w:shd w:val="clear" w:color="auto" w:fill="CFF0FC"/>
          </w:tcPr>
          <w:p>
            <w:pPr>
              <w:spacing w:after="0"/>
              <w:rPr>
                <w:sz w:val="22"/>
                <w:szCs w:val="22"/>
                <w:color w:val="auto"/>
              </w:rPr>
            </w:pPr>
          </w:p>
        </w:tc>
      </w:tr>
      <w:tr>
        <w:trPr>
          <w:trHeight w:val="250"/>
        </w:trPr>
        <w:tc>
          <w:tcPr>
            <w:tcW w:w="5300" w:type="dxa"/>
            <w:vAlign w:val="bottom"/>
          </w:tcPr>
          <w:p>
            <w:pPr>
              <w:ind w:left="180"/>
              <w:spacing w:after="0"/>
              <w:rPr>
                <w:sz w:val="20"/>
                <w:szCs w:val="20"/>
                <w:color w:val="auto"/>
              </w:rPr>
            </w:pPr>
            <w:r>
              <w:rPr>
                <w:rFonts w:ascii="Arial" w:cs="Arial" w:eastAsia="Arial" w:hAnsi="Arial"/>
                <w:sz w:val="18"/>
                <w:szCs w:val="18"/>
                <w:color w:val="auto"/>
              </w:rPr>
              <w:t>Deferred tax liability</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3,318</w:t>
            </w:r>
          </w:p>
        </w:tc>
        <w:tc>
          <w:tcPr>
            <w:tcW w:w="60" w:type="dxa"/>
            <w:vAlign w:val="bottom"/>
          </w:tcPr>
          <w:p>
            <w:pPr>
              <w:spacing w:after="0"/>
              <w:rPr>
                <w:sz w:val="21"/>
                <w:szCs w:val="21"/>
                <w:color w:val="auto"/>
              </w:rPr>
            </w:pPr>
          </w:p>
        </w:tc>
      </w:tr>
      <w:tr>
        <w:trPr>
          <w:trHeight w:val="250"/>
        </w:trPr>
        <w:tc>
          <w:tcPr>
            <w:tcW w:w="530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liabilities assumed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10,019</w:t>
            </w:r>
          </w:p>
        </w:tc>
        <w:tc>
          <w:tcPr>
            <w:tcW w:w="60" w:type="dxa"/>
            <w:vAlign w:val="bottom"/>
            <w:tcBorders>
              <w:bottom w:val="single" w:sz="8" w:color="CFF0FC"/>
            </w:tcBorders>
            <w:shd w:val="clear" w:color="auto" w:fill="CFF0FC"/>
          </w:tcPr>
          <w:p>
            <w:pPr>
              <w:spacing w:after="0"/>
              <w:rPr>
                <w:sz w:val="21"/>
                <w:szCs w:val="21"/>
                <w:color w:val="auto"/>
              </w:rPr>
            </w:pPr>
          </w:p>
        </w:tc>
      </w:tr>
      <w:tr>
        <w:trPr>
          <w:trHeight w:val="506"/>
        </w:trPr>
        <w:tc>
          <w:tcPr>
            <w:tcW w:w="5300" w:type="dxa"/>
            <w:vAlign w:val="bottom"/>
          </w:tcPr>
          <w:p>
            <w:pPr>
              <w:ind w:left="180"/>
              <w:spacing w:after="0"/>
              <w:rPr>
                <w:sz w:val="20"/>
                <w:szCs w:val="20"/>
                <w:color w:val="auto"/>
              </w:rPr>
            </w:pPr>
            <w:r>
              <w:rPr>
                <w:rFonts w:ascii="Arial" w:cs="Arial" w:eastAsia="Arial" w:hAnsi="Arial"/>
                <w:sz w:val="18"/>
                <w:szCs w:val="18"/>
                <w:color w:val="auto"/>
              </w:rPr>
              <w:t>Net identifiable assets acquired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37,745</w:t>
            </w:r>
          </w:p>
        </w:tc>
        <w:tc>
          <w:tcPr>
            <w:tcW w:w="60" w:type="dxa"/>
            <w:vAlign w:val="bottom"/>
          </w:tcPr>
          <w:p>
            <w:pPr>
              <w:spacing w:after="0"/>
              <w:rPr>
                <w:sz w:val="24"/>
                <w:szCs w:val="24"/>
                <w:color w:val="auto"/>
              </w:rPr>
            </w:pPr>
          </w:p>
        </w:tc>
      </w:tr>
      <w:tr>
        <w:trPr>
          <w:trHeight w:val="257"/>
        </w:trPr>
        <w:tc>
          <w:tcPr>
            <w:tcW w:w="53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shd w:val="clear" w:color="auto" w:fill="CFF0FC"/>
          </w:tcPr>
          <w:p>
            <w:pPr>
              <w:spacing w:after="0"/>
              <w:rPr>
                <w:sz w:val="22"/>
                <w:szCs w:val="22"/>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73,274</w:t>
            </w:r>
          </w:p>
        </w:tc>
        <w:tc>
          <w:tcPr>
            <w:tcW w:w="60" w:type="dxa"/>
            <w:vAlign w:val="bottom"/>
            <w:tcBorders>
              <w:bottom w:val="single" w:sz="8" w:color="CFF0FC"/>
            </w:tcBorders>
            <w:shd w:val="clear" w:color="auto" w:fill="CFF0FC"/>
          </w:tcPr>
          <w:p>
            <w:pPr>
              <w:spacing w:after="0"/>
              <w:rPr>
                <w:sz w:val="22"/>
                <w:szCs w:val="22"/>
                <w:color w:val="auto"/>
              </w:rPr>
            </w:pPr>
          </w:p>
        </w:tc>
      </w:tr>
      <w:tr>
        <w:trPr>
          <w:trHeight w:val="250"/>
        </w:trPr>
        <w:tc>
          <w:tcPr>
            <w:tcW w:w="5300" w:type="dxa"/>
            <w:vAlign w:val="bottom"/>
          </w:tcPr>
          <w:p>
            <w:pPr>
              <w:ind w:left="360"/>
              <w:spacing w:after="0"/>
              <w:rPr>
                <w:sz w:val="20"/>
                <w:szCs w:val="20"/>
                <w:color w:val="auto"/>
              </w:rPr>
            </w:pPr>
            <w:r>
              <w:rPr>
                <w:rFonts w:ascii="Arial" w:cs="Arial" w:eastAsia="Arial" w:hAnsi="Arial"/>
                <w:sz w:val="18"/>
                <w:szCs w:val="18"/>
                <w:color w:val="auto"/>
              </w:rPr>
              <w:t>Net assets acquired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111,019</w:t>
            </w:r>
          </w:p>
        </w:tc>
        <w:tc>
          <w:tcPr>
            <w:tcW w:w="60" w:type="dxa"/>
            <w:vAlign w:val="bottom"/>
          </w:tcPr>
          <w:p>
            <w:pPr>
              <w:spacing w:after="0"/>
              <w:rPr>
                <w:sz w:val="21"/>
                <w:szCs w:val="21"/>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-2031365</wp:posOffset>
            </wp:positionV>
            <wp:extent cx="342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-2013585</wp:posOffset>
            </wp:positionV>
            <wp:extent cx="342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-690880</wp:posOffset>
            </wp:positionV>
            <wp:extent cx="3429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-193675</wp:posOffset>
            </wp:positionV>
            <wp:extent cx="3429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provisional fair value of identifiable intangible assets acquired:</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r>
      <w:tr>
        <w:trPr>
          <w:trHeight w:val="203"/>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r>
      <w:tr>
        <w:trPr>
          <w:trHeight w:val="203"/>
        </w:trPr>
        <w:tc>
          <w:tcPr>
            <w:tcW w:w="5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r>
      <w:tr>
        <w:trPr>
          <w:trHeight w:val="208"/>
        </w:trPr>
        <w:tc>
          <w:tcPr>
            <w:tcW w:w="50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r>
      <w:tr>
        <w:trPr>
          <w:trHeight w:val="256"/>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Value of management and advisory contracts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30,820</w:t>
            </w:r>
          </w:p>
        </w:tc>
        <w:tc>
          <w:tcPr>
            <w:tcW w:w="1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57"/>
        </w:trPr>
        <w:tc>
          <w:tcPr>
            <w:tcW w:w="5040" w:type="dxa"/>
            <w:vAlign w:val="bottom"/>
          </w:tcPr>
          <w:p>
            <w:pPr>
              <w:spacing w:after="0"/>
              <w:rPr>
                <w:sz w:val="20"/>
                <w:szCs w:val="20"/>
                <w:color w:val="auto"/>
              </w:rPr>
            </w:pPr>
            <w:r>
              <w:rPr>
                <w:rFonts w:ascii="Arial" w:cs="Arial" w:eastAsia="Arial" w:hAnsi="Arial"/>
                <w:sz w:val="18"/>
                <w:szCs w:val="18"/>
                <w:color w:val="auto"/>
              </w:rPr>
              <w:t>Value of trade name</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83"/>
        </w:trPr>
        <w:tc>
          <w:tcPr>
            <w:tcW w:w="50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identifiable intangible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36,820</w:t>
            </w:r>
          </w:p>
        </w:tc>
        <w:tc>
          <w:tcPr>
            <w:tcW w:w="160" w:type="dxa"/>
            <w:vAlign w:val="bottom"/>
            <w:tcBorders>
              <w:bottom w:val="single" w:sz="8" w:color="CFF0FC"/>
            </w:tcBorders>
            <w:shd w:val="clear" w:color="auto" w:fill="CFF0FC"/>
          </w:tcPr>
          <w:p>
            <w:pPr>
              <w:spacing w:after="0"/>
              <w:rPr>
                <w:sz w:val="24"/>
                <w:szCs w:val="24"/>
                <w:color w:val="auto"/>
              </w:rPr>
            </w:pPr>
          </w:p>
        </w:tc>
        <w:tc>
          <w:tcPr>
            <w:tcW w:w="14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10287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10287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color w:val="auto"/>
        </w:rPr>
        <w:t>The goodwill recorded as part of the acquisition includes the expected benefits that management believes will result from the acquisition, including the Company’s build out of its investment product offering. Approximately $18.7 million of goodwill is expected to be deductible for tax purposes.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Bonaccord</w:t>
      </w:r>
    </w:p>
    <w:p>
      <w:pPr>
        <w:spacing w:after="0" w:line="13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On September 30, 2021, the Company completed the purchase of Bonaccord for total consideration of $55.9 million, which includes cash and contingent consideration. Bonaccord is engaged in the business of acquiring minority interests in alternative asset mangement companies focused on private market strategies which may include private equity, private client, real estate, and real asset strategies. The acquisition was accounted for as a business combination under the acquisition method of accounting pursuant to ASC 805.</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consideration paid: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Fair Value</w:t>
            </w:r>
          </w:p>
        </w:tc>
        <w:tc>
          <w:tcPr>
            <w:tcW w:w="2240" w:type="dxa"/>
            <w:vAlign w:val="bottom"/>
          </w:tcPr>
          <w:p>
            <w:pPr>
              <w:spacing w:after="0"/>
              <w:rPr>
                <w:sz w:val="16"/>
                <w:szCs w:val="16"/>
                <w:color w:val="auto"/>
              </w:rPr>
            </w:pPr>
          </w:p>
        </w:tc>
      </w:tr>
      <w:tr>
        <w:trPr>
          <w:trHeight w:val="256"/>
        </w:trPr>
        <w:tc>
          <w:tcPr>
            <w:tcW w:w="2260" w:type="dxa"/>
            <w:vAlign w:val="bottom"/>
          </w:tcPr>
          <w:p>
            <w:pPr>
              <w:spacing w:after="0"/>
              <w:rPr>
                <w:sz w:val="22"/>
                <w:szCs w:val="22"/>
                <w:color w:val="auto"/>
              </w:rPr>
            </w:pPr>
          </w:p>
        </w:tc>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38,926</w:t>
            </w:r>
          </w:p>
        </w:tc>
        <w:tc>
          <w:tcPr>
            <w:tcW w:w="2240" w:type="dxa"/>
            <w:vAlign w:val="bottom"/>
          </w:tcPr>
          <w:p>
            <w:pPr>
              <w:spacing w:after="0"/>
              <w:rPr>
                <w:sz w:val="22"/>
                <w:szCs w:val="22"/>
                <w:color w:val="auto"/>
              </w:rPr>
            </w:pPr>
          </w:p>
        </w:tc>
      </w:tr>
      <w:tr>
        <w:trPr>
          <w:trHeight w:val="250"/>
        </w:trPr>
        <w:tc>
          <w:tcPr>
            <w:tcW w:w="2260" w:type="dxa"/>
            <w:vAlign w:val="bottom"/>
          </w:tcPr>
          <w:p>
            <w:pPr>
              <w:spacing w:after="0"/>
              <w:rPr>
                <w:sz w:val="21"/>
                <w:szCs w:val="21"/>
                <w:color w:val="auto"/>
              </w:rPr>
            </w:pPr>
          </w:p>
        </w:tc>
        <w:tc>
          <w:tcPr>
            <w:tcW w:w="2780" w:type="dxa"/>
            <w:vAlign w:val="bottom"/>
          </w:tcPr>
          <w:p>
            <w:pPr>
              <w:spacing w:after="0"/>
              <w:rPr>
                <w:sz w:val="20"/>
                <w:szCs w:val="20"/>
                <w:color w:val="auto"/>
              </w:rPr>
            </w:pPr>
            <w:r>
              <w:rPr>
                <w:rFonts w:ascii="Arial" w:cs="Arial" w:eastAsia="Arial" w:hAnsi="Arial"/>
                <w:sz w:val="18"/>
                <w:szCs w:val="18"/>
                <w:color w:val="auto"/>
              </w:rPr>
              <w:t>Contingent consideration</w:t>
            </w:r>
          </w:p>
        </w:tc>
        <w:tc>
          <w:tcPr>
            <w:tcW w:w="25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16,970</w:t>
            </w:r>
          </w:p>
        </w:tc>
        <w:tc>
          <w:tcPr>
            <w:tcW w:w="2240" w:type="dxa"/>
            <w:vAlign w:val="bottom"/>
          </w:tcPr>
          <w:p>
            <w:pPr>
              <w:spacing w:after="0"/>
              <w:rPr>
                <w:sz w:val="21"/>
                <w:szCs w:val="21"/>
                <w:color w:val="auto"/>
              </w:rPr>
            </w:pPr>
          </w:p>
        </w:tc>
      </w:tr>
      <w:tr>
        <w:trPr>
          <w:trHeight w:val="290"/>
        </w:trPr>
        <w:tc>
          <w:tcPr>
            <w:tcW w:w="2260" w:type="dxa"/>
            <w:vAlign w:val="bottom"/>
          </w:tcPr>
          <w:p>
            <w:pPr>
              <w:spacing w:after="0"/>
              <w:rPr>
                <w:sz w:val="24"/>
                <w:szCs w:val="24"/>
                <w:color w:val="auto"/>
              </w:rPr>
            </w:pPr>
          </w:p>
        </w:tc>
        <w:tc>
          <w:tcPr>
            <w:tcW w:w="27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purchase consideration</w:t>
            </w:r>
          </w:p>
        </w:tc>
        <w:tc>
          <w:tcPr>
            <w:tcW w:w="27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55,896</w:t>
            </w:r>
          </w:p>
        </w:tc>
        <w:tc>
          <w:tcPr>
            <w:tcW w:w="2240" w:type="dxa"/>
            <w:vAlign w:val="bottom"/>
          </w:tcPr>
          <w:p>
            <w:pPr>
              <w:spacing w:after="0"/>
              <w:rPr>
                <w:sz w:val="24"/>
                <w:szCs w:val="24"/>
                <w:color w:val="auto"/>
              </w:rPr>
            </w:pPr>
          </w:p>
        </w:tc>
      </w:tr>
      <w:tr>
        <w:trPr>
          <w:trHeight w:val="393"/>
        </w:trPr>
        <w:tc>
          <w:tcPr>
            <w:tcW w:w="2260" w:type="dxa"/>
            <w:vAlign w:val="bottom"/>
          </w:tcPr>
          <w:p>
            <w:pPr>
              <w:spacing w:after="0"/>
              <w:rPr>
                <w:sz w:val="24"/>
                <w:szCs w:val="24"/>
                <w:color w:val="auto"/>
              </w:rPr>
            </w:pPr>
          </w:p>
        </w:tc>
        <w:tc>
          <w:tcPr>
            <w:tcW w:w="2780" w:type="dxa"/>
            <w:vAlign w:val="bottom"/>
            <w:tcBorders>
              <w:top w:val="single" w:sz="8" w:color="CFF0FC"/>
            </w:tcBorders>
          </w:tcPr>
          <w:p>
            <w:pPr>
              <w:spacing w:after="0"/>
              <w:rPr>
                <w:sz w:val="24"/>
                <w:szCs w:val="24"/>
                <w:color w:val="auto"/>
              </w:rPr>
            </w:pPr>
          </w:p>
        </w:tc>
        <w:tc>
          <w:tcPr>
            <w:tcW w:w="2560" w:type="dxa"/>
            <w:vAlign w:val="bottom"/>
            <w:tcBorders>
              <w:top w:val="single" w:sz="8" w:color="CFF0FC"/>
            </w:tcBorders>
          </w:tcPr>
          <w:p>
            <w:pPr>
              <w:jc w:val="right"/>
              <w:ind w:right="1816"/>
              <w:spacing w:after="0"/>
              <w:rPr>
                <w:sz w:val="20"/>
                <w:szCs w:val="20"/>
                <w:color w:val="auto"/>
              </w:rPr>
            </w:pPr>
            <w:r>
              <w:rPr>
                <w:rFonts w:ascii="Arial" w:cs="Arial" w:eastAsia="Arial" w:hAnsi="Arial"/>
                <w:sz w:val="14"/>
                <w:szCs w:val="14"/>
                <w:color w:val="auto"/>
              </w:rPr>
              <w:t>18</w:t>
            </w: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r>
      <w:tr>
        <w:trPr>
          <w:trHeight w:val="289"/>
        </w:trPr>
        <w:tc>
          <w:tcPr>
            <w:tcW w:w="226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-479425</wp:posOffset>
            </wp:positionV>
            <wp:extent cx="431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-462280</wp:posOffset>
            </wp:positionV>
            <wp:extent cx="431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14"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A total of $35.0 million of the cash consideration was financed through an amendment to the existing term loan under the facility with HPS. The additional draw has the same terms as the existing Facility, including the maturity date.</w:t>
      </w:r>
    </w:p>
    <w:p>
      <w:pPr>
        <w:spacing w:after="0" w:line="170"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Included in total consideration is $17.0 million of contingent consideration, representing the fair value of expected future payments on the date of the acquisition. The amount ultimately owed to the sellers is based on achieving specific revenue related targets, and all amounts under this arrangement are expected to be paid by October 2027. Total payment ranges from $0 to $20.0 million.</w:t>
      </w:r>
    </w:p>
    <w:p>
      <w:pPr>
        <w:spacing w:after="0" w:line="183"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The fair value is based on the scenario based method. The assumptions used in the analysis are inherently subjective; therefore, the ultimate amount of the liability may differ materially from the current estimate. As of September 30, 2021, the estimated fair value of the remaining contingent consideration totaled $17.0 million. A total of $0 was paid to the sellers of Bonaccord and $0 in expense was recognized in other income on the Consolidated Statements of Operations for the change in estimated value of the contingent consideration.</w:t>
      </w:r>
    </w:p>
    <w:p>
      <w:pPr>
        <w:spacing w:after="0" w:line="7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In connection with the acquisition, the Company incurred a total of $1.9 million of acquisition-related expenses. Of the total acquisition-related expenses, $1.9 million and $1.9 were recorded during the nine months and three months ended September 30, 2021 and $0 and $0 million were recorded for the nine and three months ended September 30, 2020, respectively. Of these costs, $1.6 millions relates to a one time bonus to employees associated with the acquisition, which is included in compensation and benefits on the consolidates statements of operations. The remaining costs are included in professional fees on the Consolidated Statement of Operations.</w:t>
      </w:r>
    </w:p>
    <w:p>
      <w:pPr>
        <w:spacing w:after="0" w:line="8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 acquisition date fair value of certain assets and liabilities, including intangible assets acquired and related weighted average expected lives are provisional and subject to revision within one year of the acquisition date. As such, our estimates of fair values are pending finalization, which may result in adjustments to goodwill.</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provisional fair value of the net assets acquired as of the acquisition date:</w:t>
      </w:r>
    </w:p>
    <w:p>
      <w:pPr>
        <w:spacing w:after="0" w:line="257" w:lineRule="exact"/>
        <w:rPr>
          <w:sz w:val="20"/>
          <w:szCs w:val="20"/>
          <w:color w:val="auto"/>
        </w:rPr>
      </w:pPr>
    </w:p>
    <w:tbl>
      <w:tblPr>
        <w:tblLayout w:type="fixed"/>
        <w:tblInd w:w="226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6"/>
                <w:szCs w:val="16"/>
                <w:color w:val="auto"/>
              </w:rPr>
            </w:pPr>
          </w:p>
        </w:tc>
      </w:tr>
      <w:tr>
        <w:trPr>
          <w:trHeight w:val="256"/>
        </w:trPr>
        <w:tc>
          <w:tcPr>
            <w:tcW w:w="5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r>
      <w:tr>
        <w:trPr>
          <w:trHeight w:val="250"/>
        </w:trPr>
        <w:tc>
          <w:tcPr>
            <w:tcW w:w="5340" w:type="dxa"/>
            <w:vAlign w:val="bottom"/>
          </w:tcPr>
          <w:p>
            <w:pPr>
              <w:ind w:left="18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1"/>
                <w:szCs w:val="21"/>
                <w:color w:val="auto"/>
              </w:rPr>
            </w:pPr>
          </w:p>
        </w:tc>
      </w:tr>
      <w:tr>
        <w:trPr>
          <w:trHeight w:val="263"/>
        </w:trPr>
        <w:tc>
          <w:tcPr>
            <w:tcW w:w="5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Investment in partnership</w:t>
            </w:r>
          </w:p>
        </w:tc>
        <w:tc>
          <w:tcPr>
            <w:tcW w:w="22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w:t>
            </w:r>
          </w:p>
        </w:tc>
        <w:tc>
          <w:tcPr>
            <w:tcW w:w="60" w:type="dxa"/>
            <w:vAlign w:val="bottom"/>
            <w:shd w:val="clear" w:color="auto" w:fill="CFF0FC"/>
          </w:tcPr>
          <w:p>
            <w:pPr>
              <w:spacing w:after="0"/>
              <w:rPr>
                <w:sz w:val="22"/>
                <w:szCs w:val="22"/>
                <w:color w:val="auto"/>
              </w:rPr>
            </w:pPr>
          </w:p>
        </w:tc>
      </w:tr>
      <w:tr>
        <w:trPr>
          <w:trHeight w:val="250"/>
        </w:trPr>
        <w:tc>
          <w:tcPr>
            <w:tcW w:w="534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12,480</w:t>
            </w:r>
          </w:p>
        </w:tc>
        <w:tc>
          <w:tcPr>
            <w:tcW w:w="60" w:type="dxa"/>
            <w:vAlign w:val="bottom"/>
          </w:tcPr>
          <w:p>
            <w:pPr>
              <w:spacing w:after="0"/>
              <w:rPr>
                <w:sz w:val="21"/>
                <w:szCs w:val="21"/>
                <w:color w:val="auto"/>
              </w:rPr>
            </w:pPr>
          </w:p>
        </w:tc>
      </w:tr>
      <w:tr>
        <w:trPr>
          <w:trHeight w:val="290"/>
        </w:trPr>
        <w:tc>
          <w:tcPr>
            <w:tcW w:w="53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assets acquired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13,885</w:t>
            </w:r>
          </w:p>
        </w:tc>
        <w:tc>
          <w:tcPr>
            <w:tcW w:w="60" w:type="dxa"/>
            <w:vAlign w:val="bottom"/>
            <w:tcBorders>
              <w:bottom w:val="single" w:sz="8" w:color="CFF0FC"/>
            </w:tcBorders>
            <w:shd w:val="clear" w:color="auto" w:fill="CFF0FC"/>
          </w:tcPr>
          <w:p>
            <w:pPr>
              <w:spacing w:after="0"/>
              <w:rPr>
                <w:sz w:val="24"/>
                <w:szCs w:val="24"/>
                <w:color w:val="auto"/>
              </w:rPr>
            </w:pPr>
          </w:p>
        </w:tc>
      </w:tr>
      <w:tr>
        <w:trPr>
          <w:trHeight w:val="237"/>
        </w:trPr>
        <w:tc>
          <w:tcPr>
            <w:tcW w:w="53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7"/>
        </w:trPr>
        <w:tc>
          <w:tcPr>
            <w:tcW w:w="53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919</w:t>
            </w:r>
          </w:p>
        </w:tc>
        <w:tc>
          <w:tcPr>
            <w:tcW w:w="60" w:type="dxa"/>
            <w:vAlign w:val="bottom"/>
            <w:tcBorders>
              <w:bottom w:val="single" w:sz="8" w:color="CFF0FC"/>
            </w:tcBorders>
            <w:shd w:val="clear" w:color="auto" w:fill="CFF0FC"/>
          </w:tcPr>
          <w:p>
            <w:pPr>
              <w:spacing w:after="0"/>
              <w:rPr>
                <w:sz w:val="22"/>
                <w:szCs w:val="22"/>
                <w:color w:val="auto"/>
              </w:rPr>
            </w:pPr>
          </w:p>
        </w:tc>
      </w:tr>
      <w:tr>
        <w:trPr>
          <w:trHeight w:val="250"/>
        </w:trPr>
        <w:tc>
          <w:tcPr>
            <w:tcW w:w="5340" w:type="dxa"/>
            <w:vAlign w:val="bottom"/>
          </w:tcPr>
          <w:p>
            <w:pPr>
              <w:ind w:left="360"/>
              <w:spacing w:after="0"/>
              <w:rPr>
                <w:sz w:val="20"/>
                <w:szCs w:val="20"/>
                <w:color w:val="auto"/>
              </w:rPr>
            </w:pPr>
            <w:r>
              <w:rPr>
                <w:rFonts w:ascii="Arial" w:cs="Arial" w:eastAsia="Arial" w:hAnsi="Arial"/>
                <w:sz w:val="18"/>
                <w:szCs w:val="18"/>
                <w:color w:val="auto"/>
              </w:rPr>
              <w:t>Total liabilities assumed</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60" w:type="dxa"/>
            <w:vAlign w:val="bottom"/>
          </w:tcPr>
          <w:p>
            <w:pPr>
              <w:spacing w:after="0"/>
              <w:rPr>
                <w:sz w:val="21"/>
                <w:szCs w:val="2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4"/>
        </w:trPr>
        <w:tc>
          <w:tcPr>
            <w:tcW w:w="5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56"/>
        </w:trPr>
        <w:tc>
          <w:tcPr>
            <w:tcW w:w="53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Net identifiable assets acquired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12,966</w:t>
            </w:r>
          </w:p>
        </w:tc>
        <w:tc>
          <w:tcPr>
            <w:tcW w:w="60" w:type="dxa"/>
            <w:vAlign w:val="bottom"/>
            <w:shd w:val="clear" w:color="auto" w:fill="CFF0FC"/>
          </w:tcPr>
          <w:p>
            <w:pPr>
              <w:spacing w:after="0"/>
              <w:rPr>
                <w:sz w:val="22"/>
                <w:szCs w:val="22"/>
                <w:color w:val="auto"/>
              </w:rPr>
            </w:pPr>
          </w:p>
        </w:tc>
      </w:tr>
      <w:tr>
        <w:trPr>
          <w:trHeight w:val="250"/>
        </w:trPr>
        <w:tc>
          <w:tcPr>
            <w:tcW w:w="53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42,930</w:t>
            </w:r>
          </w:p>
        </w:tc>
        <w:tc>
          <w:tcPr>
            <w:tcW w:w="60" w:type="dxa"/>
            <w:vAlign w:val="bottom"/>
          </w:tcPr>
          <w:p>
            <w:pPr>
              <w:spacing w:after="0"/>
              <w:rPr>
                <w:sz w:val="21"/>
                <w:szCs w:val="21"/>
                <w:color w:val="auto"/>
              </w:rPr>
            </w:pPr>
          </w:p>
        </w:tc>
      </w:tr>
      <w:tr>
        <w:trPr>
          <w:trHeight w:val="290"/>
        </w:trPr>
        <w:tc>
          <w:tcPr>
            <w:tcW w:w="534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assets acquired</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55,896</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-1233805</wp:posOffset>
            </wp:positionV>
            <wp:extent cx="431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-1216660</wp:posOffset>
            </wp:positionV>
            <wp:extent cx="431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-879475</wp:posOffset>
            </wp:positionV>
            <wp:extent cx="4318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431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provisional fair value of the identifiable intangible assets acquired:</w:t>
      </w:r>
    </w:p>
    <w:p>
      <w:pPr>
        <w:spacing w:after="0" w:line="257" w:lineRule="exact"/>
        <w:rPr>
          <w:sz w:val="20"/>
          <w:szCs w:val="20"/>
          <w:color w:val="auto"/>
        </w:rPr>
      </w:pPr>
    </w:p>
    <w:tbl>
      <w:tblPr>
        <w:tblLayout w:type="fixed"/>
        <w:tblInd w:w="158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r>
      <w:tr>
        <w:trPr>
          <w:trHeight w:val="203"/>
        </w:trPr>
        <w:tc>
          <w:tcPr>
            <w:tcW w:w="5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r>
      <w:tr>
        <w:trPr>
          <w:trHeight w:val="203"/>
        </w:trPr>
        <w:tc>
          <w:tcPr>
            <w:tcW w:w="5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8"/>
              </w:rPr>
              <w:t>Amortization</w:t>
            </w:r>
          </w:p>
        </w:tc>
      </w:tr>
      <w:tr>
        <w:trPr>
          <w:trHeight w:val="208"/>
        </w:trPr>
        <w:tc>
          <w:tcPr>
            <w:tcW w:w="5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r>
      <w:tr>
        <w:trPr>
          <w:trHeight w:val="249"/>
        </w:trPr>
        <w:tc>
          <w:tcPr>
            <w:tcW w:w="5320" w:type="dxa"/>
            <w:vAlign w:val="bottom"/>
          </w:tcPr>
          <w:p>
            <w:pPr>
              <w:ind w:left="20"/>
              <w:spacing w:after="0"/>
              <w:rPr>
                <w:sz w:val="20"/>
                <w:szCs w:val="20"/>
                <w:color w:val="auto"/>
              </w:rPr>
            </w:pPr>
            <w:r>
              <w:rPr>
                <w:rFonts w:ascii="Arial" w:cs="Arial" w:eastAsia="Arial" w:hAnsi="Arial"/>
                <w:sz w:val="18"/>
                <w:szCs w:val="18"/>
                <w:color w:val="auto"/>
              </w:rPr>
              <w:t>Value of management and advisory contracts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8,930</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63"/>
        </w:trPr>
        <w:tc>
          <w:tcPr>
            <w:tcW w:w="5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Value of trade name</w:t>
            </w:r>
          </w:p>
        </w:tc>
        <w:tc>
          <w:tcPr>
            <w:tcW w:w="20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3,550</w:t>
            </w:r>
          </w:p>
        </w:tc>
        <w:tc>
          <w:tcPr>
            <w:tcW w:w="15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320" w:type="dxa"/>
            <w:vAlign w:val="bottom"/>
          </w:tcPr>
          <w:p>
            <w:pPr>
              <w:ind w:left="200"/>
              <w:spacing w:after="0"/>
              <w:rPr>
                <w:sz w:val="20"/>
                <w:szCs w:val="20"/>
                <w:color w:val="auto"/>
              </w:rPr>
            </w:pPr>
            <w:r>
              <w:rPr>
                <w:rFonts w:ascii="Arial" w:cs="Arial" w:eastAsia="Arial" w:hAnsi="Arial"/>
                <w:sz w:val="18"/>
                <w:szCs w:val="18"/>
                <w:color w:val="auto"/>
              </w:rPr>
              <w:t>Total identifiable intangible assets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12,480</w:t>
            </w: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-193675</wp:posOffset>
            </wp:positionV>
            <wp:extent cx="13716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37160" cy="5715"/>
                    </a:xfrm>
                    <a:prstGeom prst="rect">
                      <a:avLst/>
                    </a:prstGeom>
                    <a:noFill/>
                  </pic:spPr>
                </pic:pic>
              </a:graphicData>
            </a:graphic>
          </wp:anchor>
        </w:drawing>
      </w:r>
    </w:p>
    <w:p>
      <w:pPr>
        <w:spacing w:after="0" w:line="317"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In connection with the acquisition, Bonaccord entered a Strategic Alliance Agreement ("SAA"), providing a third-party the right to receive 15% of the net management fee earnings, which includes the management fees minus applicable expenses, for Bonaccord Fund I ("Fund I"), paid quarterly. Within 60 days following the final closing of the next fund, Bonaccord Fund II ("Fund II"), the third-party has the opportunity to acquire equity interests in Bonaccord based on the amount of commitment made to subsequent Funds II and III that ranges from 0.1%-9.9% of equity in Bonaccord. If within 60 days of the final closing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of Funds II and III, the third-party has not met specific equity commitments in the SAA, Bonaccord may elect to repurchase the equity interests at fair market value. In addition to this SAA, there is another agreement with a third-party, similar to a placement fee arrangement, whereby they will receive 5% of net management fee revenues for Fund I.</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1"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color w:val="auto"/>
        </w:rPr>
        <w:t>The goodwill recorded as part of the acquisition includes the expected benefits that management believes will result from the acquisition, including the Company’s build out of its investment product offering. Approximately $42.9 million of goodwill is expected to be deductible for tax purposes.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Hark</w:t>
      </w:r>
    </w:p>
    <w:p>
      <w:pPr>
        <w:spacing w:after="0" w:line="13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 xml:space="preserve">On September 30, 2021, the Company completed the purchases of Hark for total consideration of $7.2 million, which includes $5.0 million of cash and $2.2 million of estimated contingent consideration. </w:t>
      </w:r>
      <w:r>
        <w:rPr>
          <w:rFonts w:ascii="Arial" w:cs="Arial" w:eastAsia="Arial" w:hAnsi="Arial"/>
          <w:sz w:val="18"/>
          <w:szCs w:val="18"/>
          <w:color w:val="231F20"/>
        </w:rPr>
        <w:t>The acquisition was accounted for as a business combination under the acquisition method of</w:t>
      </w:r>
      <w:r>
        <w:rPr>
          <w:rFonts w:ascii="Arial" w:cs="Arial" w:eastAsia="Arial" w:hAnsi="Arial"/>
          <w:sz w:val="18"/>
          <w:szCs w:val="18"/>
          <w:color w:val="auto"/>
        </w:rPr>
        <w:t xml:space="preserve"> </w:t>
      </w:r>
      <w:r>
        <w:rPr>
          <w:rFonts w:ascii="Arial" w:cs="Arial" w:eastAsia="Arial" w:hAnsi="Arial"/>
          <w:sz w:val="18"/>
          <w:szCs w:val="18"/>
          <w:color w:val="231F20"/>
        </w:rPr>
        <w:t xml:space="preserve">accounting pursuant to ASC 805. </w:t>
      </w:r>
      <w:r>
        <w:rPr>
          <w:rFonts w:ascii="Arial" w:cs="Arial" w:eastAsia="Arial" w:hAnsi="Arial"/>
          <w:sz w:val="18"/>
          <w:szCs w:val="18"/>
          <w:color w:val="000000"/>
        </w:rPr>
        <w:t>Hark is engaged in the business of making loans to portfolio companies that are owned or controlled by financial</w:t>
      </w:r>
      <w:r>
        <w:rPr>
          <w:rFonts w:ascii="Arial" w:cs="Arial" w:eastAsia="Arial" w:hAnsi="Arial"/>
          <w:sz w:val="18"/>
          <w:szCs w:val="18"/>
          <w:color w:val="231F20"/>
        </w:rPr>
        <w:t xml:space="preserve"> </w:t>
      </w:r>
      <w:r>
        <w:rPr>
          <w:rFonts w:ascii="Arial" w:cs="Arial" w:eastAsia="Arial" w:hAnsi="Arial"/>
          <w:sz w:val="18"/>
          <w:szCs w:val="18"/>
          <w:color w:val="000000"/>
        </w:rPr>
        <w:t>sponsors, such as private equity funds or venture capital funds, and which do not meet traditional direct lending underwriting criteria, but where the repayment of the loan by the portfolio company is guaranteed by its financial sponsor. T</w:t>
      </w:r>
      <w:r>
        <w:rPr>
          <w:rFonts w:ascii="Arial" w:cs="Arial" w:eastAsia="Arial" w:hAnsi="Arial"/>
          <w:sz w:val="18"/>
          <w:szCs w:val="18"/>
          <w:color w:val="231F20"/>
        </w:rPr>
        <w:t>he provisional fair value consisted of $2.5 million in net assets and</w:t>
      </w:r>
      <w:r>
        <w:rPr>
          <w:rFonts w:ascii="Arial" w:cs="Arial" w:eastAsia="Arial" w:hAnsi="Arial"/>
          <w:sz w:val="18"/>
          <w:szCs w:val="18"/>
          <w:color w:val="000000"/>
        </w:rPr>
        <w:t xml:space="preserve"> </w:t>
      </w:r>
      <w:r>
        <w:rPr>
          <w:rFonts w:ascii="Arial" w:cs="Arial" w:eastAsia="Arial" w:hAnsi="Arial"/>
          <w:sz w:val="18"/>
          <w:szCs w:val="18"/>
          <w:color w:val="231F20"/>
        </w:rPr>
        <w:t>$4.7 million in goodwill.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Identifiable Intangible Assets</w:t>
      </w:r>
    </w:p>
    <w:p>
      <w:pPr>
        <w:spacing w:after="0" w:line="13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 fair value of management and advisory contracts acquired were estimated using the excess earnings method. Significant inputs to the valuation model include existing revenue, estimates of expenses and contributory asset charges, the economic life of the contracts and a discount rate based on a weighted average cost of capital.</w:t>
      </w:r>
    </w:p>
    <w:p>
      <w:pPr>
        <w:spacing w:after="0" w:line="183"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7"/>
          <w:szCs w:val="17"/>
          <w:color w:val="auto"/>
        </w:rPr>
        <w:t>The fair value of trade names acquired were estimated using the relief from royalty method. Significant inputs to the valuation model include estimates of existing and future revenue, estimated royalty rate, economic life and a discount rate based on a weighted average cost of capital.</w:t>
      </w:r>
    </w:p>
    <w:p>
      <w:pPr>
        <w:spacing w:after="0" w:line="147"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The fair value of technology acquired was estimated using the relief from royalty method. Significant inputs to the valuation model include a royalty rate, an estimated life and a discount rate.</w:t>
      </w:r>
    </w:p>
    <w:p>
      <w:pPr>
        <w:spacing w:after="0" w:line="170"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The management and advisory contracts, trade names and the acquired technology all have a finite useful life. The carrying value of the management fund and advisory contracts and trade names will be amortized in line with the pattern in which the economic benefits arise and are reviewed at least annually for indicators of impairment in value that is other than temporary. The technology will be amortized on a straight-line basis.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Pro-forma Financial Information</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following unaudited pro forma condensed consolidated results of operations of the Company assumes the acquisitions of Five Points, TrueBridge, Enhanced, and Bonaccord were completed on January 1, 2020:</w:t>
      </w:r>
    </w:p>
    <w:p>
      <w:pPr>
        <w:spacing w:after="0" w:line="188"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0" w:type="dxa"/>
            <w:vAlign w:val="bottom"/>
            <w:gridSpan w:val="4"/>
          </w:tcPr>
          <w:p>
            <w:pPr>
              <w:jc w:val="center"/>
              <w:ind w:right="236"/>
              <w:spacing w:after="0"/>
              <w:rPr>
                <w:sz w:val="20"/>
                <w:szCs w:val="20"/>
                <w:color w:val="auto"/>
              </w:rPr>
            </w:pPr>
            <w:r>
              <w:rPr>
                <w:rFonts w:ascii="Arial" w:cs="Arial" w:eastAsia="Arial" w:hAnsi="Arial"/>
                <w:sz w:val="14"/>
                <w:szCs w:val="14"/>
                <w:b w:val="1"/>
                <w:bCs w:val="1"/>
                <w:color w:val="auto"/>
                <w:w w:val="94"/>
              </w:rPr>
              <w:t>For the Nine Months Ended</w:t>
            </w:r>
          </w:p>
        </w:tc>
        <w:tc>
          <w:tcPr>
            <w:tcW w:w="100" w:type="dxa"/>
            <w:vAlign w:val="bottom"/>
          </w:tcPr>
          <w:p>
            <w:pPr>
              <w:spacing w:after="0"/>
              <w:rPr>
                <w:sz w:val="16"/>
                <w:szCs w:val="16"/>
                <w:color w:val="auto"/>
              </w:rPr>
            </w:pPr>
          </w:p>
        </w:tc>
      </w:tr>
      <w:tr>
        <w:trPr>
          <w:trHeight w:val="208"/>
        </w:trPr>
        <w:tc>
          <w:tcPr>
            <w:tcW w:w="50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50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120,057</w:t>
            </w:r>
          </w:p>
        </w:tc>
        <w:tc>
          <w:tcPr>
            <w:tcW w:w="6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90,075</w:t>
            </w:r>
          </w:p>
        </w:tc>
        <w:tc>
          <w:tcPr>
            <w:tcW w:w="100" w:type="dxa"/>
            <w:vAlign w:val="bottom"/>
            <w:shd w:val="clear" w:color="auto" w:fill="CFF0FC"/>
          </w:tcPr>
          <w:p>
            <w:pPr>
              <w:spacing w:after="0"/>
              <w:rPr>
                <w:sz w:val="22"/>
                <w:szCs w:val="22"/>
                <w:color w:val="auto"/>
              </w:rPr>
            </w:pP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Net income attributable to P10</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12,749</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5,435</w:t>
            </w:r>
          </w:p>
        </w:tc>
        <w:tc>
          <w:tcPr>
            <w:tcW w:w="100" w:type="dxa"/>
            <w:vAlign w:val="bottom"/>
          </w:tcPr>
          <w:p>
            <w:pPr>
              <w:spacing w:after="0"/>
              <w:rPr>
                <w:sz w:val="21"/>
                <w:szCs w:val="21"/>
                <w:color w:val="auto"/>
              </w:rPr>
            </w:pPr>
          </w:p>
        </w:tc>
      </w:tr>
    </w:tbl>
    <w:p>
      <w:pPr>
        <w:spacing w:after="0" w:line="24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Pro forma adjustments include revenue and net income (loss) of the acquired business for each period. Other pro forma adjustments include intangible amortization expense and interest expense based on debt issued or repaid in connection with the acquisitions as if the acquisitions were completed on January 1, 2020. The pro forma adjustments also give effect to the reorganization of Enhanced and formation of Enhanced Permanent Capital, as well as the impacts of the advisory services agreement as further described at Note 11.</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presents revenues disaggregated by product offering:</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4"/>
          </w:tcPr>
          <w:p>
            <w:pPr>
              <w:jc w:val="right"/>
              <w:ind w:right="293"/>
              <w:spacing w:after="0"/>
              <w:rPr>
                <w:sz w:val="20"/>
                <w:szCs w:val="20"/>
                <w:color w:val="auto"/>
              </w:rPr>
            </w:pPr>
            <w:r>
              <w:rPr>
                <w:rFonts w:ascii="Arial" w:cs="Arial" w:eastAsia="Arial" w:hAnsi="Arial"/>
                <w:sz w:val="14"/>
                <w:szCs w:val="14"/>
                <w:b w:val="1"/>
                <w:bCs w:val="1"/>
                <w:color w:val="auto"/>
              </w:rPr>
              <w:t>For the Three Months Ended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40" w:type="dxa"/>
            <w:vAlign w:val="bottom"/>
            <w:gridSpan w:val="4"/>
          </w:tcPr>
          <w:p>
            <w:pPr>
              <w:jc w:val="right"/>
              <w:ind w:right="93"/>
              <w:spacing w:after="0"/>
              <w:rPr>
                <w:sz w:val="20"/>
                <w:szCs w:val="20"/>
                <w:color w:val="auto"/>
              </w:rPr>
            </w:pPr>
            <w:r>
              <w:rPr>
                <w:rFonts w:ascii="Arial" w:cs="Arial" w:eastAsia="Arial" w:hAnsi="Arial"/>
                <w:sz w:val="14"/>
                <w:szCs w:val="14"/>
                <w:b w:val="1"/>
                <w:bCs w:val="1"/>
                <w:color w:val="auto"/>
                <w:w w:val="95"/>
              </w:rPr>
              <w:t>For the Nine Months Ended</w:t>
            </w:r>
          </w:p>
        </w:tc>
        <w:tc>
          <w:tcPr>
            <w:tcW w:w="80" w:type="dxa"/>
            <w:vAlign w:val="bottom"/>
          </w:tcPr>
          <w:p>
            <w:pPr>
              <w:spacing w:after="0"/>
              <w:rPr>
                <w:sz w:val="16"/>
                <w:szCs w:val="16"/>
                <w:color w:val="auto"/>
              </w:rPr>
            </w:pPr>
          </w:p>
        </w:tc>
      </w:tr>
      <w:tr>
        <w:trPr>
          <w:trHeight w:val="209"/>
        </w:trPr>
        <w:tc>
          <w:tcPr>
            <w:tcW w:w="5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8"/>
                <w:szCs w:val="18"/>
                <w:color w:val="auto"/>
              </w:rPr>
            </w:pPr>
          </w:p>
        </w:tc>
      </w:tr>
      <w:tr>
        <w:trPr>
          <w:trHeight w:val="196"/>
        </w:trPr>
        <w:tc>
          <w:tcPr>
            <w:tcW w:w="5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r>
      <w:tr>
        <w:trPr>
          <w:trHeight w:val="256"/>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Management and advisory fees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37,939</w:t>
            </w:r>
          </w:p>
        </w:tc>
        <w:tc>
          <w:tcPr>
            <w:tcW w:w="60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15,222</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104,029</w:t>
            </w:r>
          </w:p>
        </w:tc>
        <w:tc>
          <w:tcPr>
            <w:tcW w:w="40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41,821</w:t>
            </w:r>
          </w:p>
        </w:tc>
        <w:tc>
          <w:tcPr>
            <w:tcW w:w="80" w:type="dxa"/>
            <w:vAlign w:val="bottom"/>
            <w:shd w:val="clear" w:color="auto" w:fill="CFF0FC"/>
          </w:tcPr>
          <w:p>
            <w:pPr>
              <w:spacing w:after="0"/>
              <w:rPr>
                <w:sz w:val="22"/>
                <w:szCs w:val="22"/>
                <w:color w:val="auto"/>
              </w:rPr>
            </w:pPr>
          </w:p>
        </w:tc>
      </w:tr>
      <w:tr>
        <w:trPr>
          <w:trHeight w:val="250"/>
        </w:trPr>
        <w:tc>
          <w:tcPr>
            <w:tcW w:w="5160" w:type="dxa"/>
            <w:vAlign w:val="bottom"/>
          </w:tcPr>
          <w:p>
            <w:pPr>
              <w:spacing w:after="0"/>
              <w:rPr>
                <w:sz w:val="20"/>
                <w:szCs w:val="20"/>
                <w:color w:val="auto"/>
              </w:rPr>
            </w:pPr>
            <w:r>
              <w:rPr>
                <w:rFonts w:ascii="Arial" w:cs="Arial" w:eastAsia="Arial" w:hAnsi="Arial"/>
                <w:sz w:val="18"/>
                <w:szCs w:val="18"/>
                <w:color w:val="auto"/>
              </w:rPr>
              <w:t>Subscriptions</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496</w:t>
            </w:r>
          </w:p>
        </w:tc>
        <w:tc>
          <w:tcPr>
            <w:tcW w:w="80" w:type="dxa"/>
            <w:vAlign w:val="bottom"/>
          </w:tcPr>
          <w:p>
            <w:pPr>
              <w:spacing w:after="0"/>
              <w:rPr>
                <w:sz w:val="21"/>
                <w:szCs w:val="21"/>
                <w:color w:val="auto"/>
              </w:rPr>
            </w:pPr>
          </w:p>
        </w:tc>
      </w:tr>
      <w:tr>
        <w:trPr>
          <w:trHeight w:val="263"/>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Consulting agreements and referral fees</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FF0FC"/>
          </w:tcPr>
          <w:p>
            <w:pPr>
              <w:spacing w:after="0"/>
              <w:rPr>
                <w:sz w:val="22"/>
                <w:szCs w:val="22"/>
                <w:color w:val="auto"/>
              </w:rPr>
            </w:pPr>
          </w:p>
        </w:tc>
      </w:tr>
      <w:tr>
        <w:trPr>
          <w:trHeight w:val="256"/>
        </w:trPr>
        <w:tc>
          <w:tcPr>
            <w:tcW w:w="5160" w:type="dxa"/>
            <w:vAlign w:val="bottom"/>
          </w:tcPr>
          <w:p>
            <w:pPr>
              <w:spacing w:after="0"/>
              <w:rPr>
                <w:sz w:val="20"/>
                <w:szCs w:val="20"/>
                <w:color w:val="auto"/>
              </w:rPr>
            </w:pPr>
            <w:r>
              <w:rPr>
                <w:rFonts w:ascii="Arial" w:cs="Arial" w:eastAsia="Arial" w:hAnsi="Arial"/>
                <w:sz w:val="18"/>
                <w:szCs w:val="18"/>
                <w:color w:val="auto"/>
              </w:rPr>
              <w:t>Other revenue</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22"/>
                <w:szCs w:val="22"/>
                <w:color w:val="auto"/>
              </w:rPr>
            </w:pPr>
          </w:p>
        </w:tc>
      </w:tr>
      <w:tr>
        <w:trPr>
          <w:trHeight w:val="290"/>
        </w:trPr>
        <w:tc>
          <w:tcPr>
            <w:tcW w:w="51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revenues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38,145</w:t>
            </w:r>
          </w:p>
        </w:tc>
        <w:tc>
          <w:tcPr>
            <w:tcW w:w="2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15,381</w:t>
            </w:r>
          </w:p>
        </w:tc>
        <w:tc>
          <w:tcPr>
            <w:tcW w:w="2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104,901</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42,682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-25400</wp:posOffset>
            </wp:positionV>
            <wp:extent cx="1371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-7620</wp:posOffset>
            </wp:positionV>
            <wp:extent cx="1371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-25400</wp:posOffset>
            </wp:positionV>
            <wp:extent cx="1371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-7620</wp:posOffset>
            </wp:positionV>
            <wp:extent cx="13716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1289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12890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-25400</wp:posOffset>
            </wp:positionV>
            <wp:extent cx="431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-7620</wp:posOffset>
            </wp:positionV>
            <wp:extent cx="431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Note Receivable</w:t>
      </w:r>
    </w:p>
    <w:p>
      <w:pPr>
        <w:spacing w:after="0" w:line="135"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6"/>
          <w:szCs w:val="16"/>
          <w:color w:val="auto"/>
        </w:rPr>
        <w:t>The Company's note receivable consists of an Advance Agreement and Secured Promissory Note that was executed on September 30, 2021 between the Company and BCP Partners Holdings, LP ("BCP") to lend funds to cover their GP commitments. This agreement provides for a note to BCP for $5.0 million, of which $2.3 million was drawn as of September 30, 2021 with a maturity date of September 30, 2031. The note will earn interest at the greater of</w:t>
      </w:r>
    </w:p>
    <w:p>
      <w:pPr>
        <w:spacing w:after="0" w:line="2" w:lineRule="exact"/>
        <w:rPr>
          <w:sz w:val="20"/>
          <w:szCs w:val="20"/>
          <w:color w:val="auto"/>
        </w:rPr>
      </w:pPr>
    </w:p>
    <w:p>
      <w:pPr>
        <w:jc w:val="both"/>
        <w:ind w:firstLine="8"/>
        <w:spacing w:after="0" w:line="295" w:lineRule="auto"/>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applicable federal rate that must be charged to avoid imputation of interest under Section 1274(d) of the code and (ii) 5.5%. Interest will be paid on December 31st of each year commencing December 31, 2021. Principal payments will be made periodically from mandatory payments from available cash flows at BCP. As of September 30, 2021 and December 31, 2020, the balance was $2.3 million and $0, respectively. The Company recognized interest revenue of $0 and $0 million for the nine and three months ended September 30, 2021 and 2020, respectively.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Variable Interest Entities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35"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The Company consolidates certain VIEs for which it is the primary beneficiary. VIEs consist of certain operating entities not wholly owned by the Company and include P10 Intermediate, Holdco, RCP 2, RCP 3, TrueBridge, Hark and Bonaccord. See Note 2 for more information on the Company’s accounting policies related to the consolidation of VIEs. The assets of the consolidated VIEs totaled $418.3 million and $361.7 million as of September 30, 2021 and December 31, 2020, respectively. The liabilities of the consolidated VIEs totaled $325.9 million and $287.1 million as of September 30, 2021 and December 31, 2020, respectively. The assets of our consolidated VIE’s are owned by those entities and not generally available to satisfy P10’s obligations, and the liabilities of our consolidated VIE’s are obligations of those entities and their creditors do not generally have recourse to the assets of P10.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Unconsolidated VIEs</w:t>
      </w:r>
    </w:p>
    <w:p>
      <w:pPr>
        <w:spacing w:after="0" w:line="13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Through its subsidiary, ECG, the Company holds variable interests in the form of direct equity interests in certain VIEs that are not consolidated because the Company is not the primary beneficiary. The Company's maximum exposure to loss is limited to the potential loos of assets recognized by the Company relating to these unconsolidated entities.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Investment in Unconsolidated Subsidiaries</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Company’s investment in unconsolidated subsidiaries consist of equity method investments primarily related to ECG’s tax credit finance and asset management activities.</w:t>
      </w:r>
    </w:p>
    <w:p>
      <w:pPr>
        <w:spacing w:after="0" w:line="170"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6"/>
          <w:szCs w:val="16"/>
          <w:color w:val="auto"/>
        </w:rPr>
        <w:t>As of September 30, 2021, investment in unconsolidated subsidiaries totaled $2.0 million, of which $1.4 million related to ECG’s asset management businesses and $0.6 million related to ECG’s tax credit finance businesses. As of December 31, 2020, investment in unconsolidated subsidiaries totaled $2.2 million, of which $2.0 million related to ECG’s asset management businesses and $0.2 million related to ECG’s tax credit finance businesses.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Management</w:t>
      </w:r>
    </w:p>
    <w:p>
      <w:pPr>
        <w:spacing w:after="0" w:line="131"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ECG manages some of its alternative asset management funds through various unconsolidated subsidiaries and records these investments under the equity method of accounting. ECG recorded its share of income in the amount of $0.8 and $0.3 million for the nine and three months ended September 30, 2021 and $0 and $0 million for the nine and three months ended September 30, 2020, respectively. For the nine and three months ended September 30, 2021, ECG made $0 and $0 capital contributions and received distributions of $1.4 and $0.1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Credit Finance</w:t>
      </w:r>
    </w:p>
    <w:p>
      <w:pPr>
        <w:spacing w:after="0" w:line="131"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ECG provides a wide range of tax credit transactions and consulting services through various entities which are wholly owned subsidiaries of Enhanced Tax Credit Finance, LLC (“ETCF”), which is a wholly owned subsidiary of ECG. Some of these subsidiaries own nominal interests, typically under 1.0%, in various VIEs and record these investments under the measurement alternative described in Note 2 above. For the nine and three months ended September 30, 2021, ECG made $2.6 and $0 million of capital contributions and received distributions of $2.2 and $0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Property and Equipment</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 of the following:</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As of</w:t>
            </w:r>
          </w:p>
        </w:tc>
        <w:tc>
          <w:tcPr>
            <w:tcW w:w="20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r>
      <w:tr>
        <w:trPr>
          <w:trHeight w:val="203"/>
        </w:trPr>
        <w:tc>
          <w:tcPr>
            <w:tcW w:w="4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September 30,</w:t>
            </w:r>
          </w:p>
        </w:tc>
        <w:tc>
          <w:tcPr>
            <w:tcW w:w="200" w:type="dxa"/>
            <w:vAlign w:val="bottom"/>
          </w:tcPr>
          <w:p>
            <w:pPr>
              <w:spacing w:after="0"/>
              <w:rPr>
                <w:sz w:val="17"/>
                <w:szCs w:val="17"/>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r>
      <w:tr>
        <w:trPr>
          <w:trHeight w:val="208"/>
        </w:trPr>
        <w:tc>
          <w:tcPr>
            <w:tcW w:w="4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8"/>
                <w:szCs w:val="18"/>
                <w:color w:val="auto"/>
              </w:rPr>
            </w:pPr>
          </w:p>
        </w:tc>
      </w:tr>
      <w:tr>
        <w:trPr>
          <w:trHeight w:val="256"/>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Computers and purchased software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FF0FC"/>
          </w:tcPr>
          <w:p>
            <w:pPr>
              <w:spacing w:after="0"/>
              <w:rPr>
                <w:sz w:val="22"/>
                <w:szCs w:val="22"/>
                <w:color w:val="auto"/>
              </w:rPr>
            </w:pPr>
          </w:p>
        </w:tc>
      </w:tr>
      <w:tr>
        <w:trPr>
          <w:trHeight w:val="250"/>
        </w:trPr>
        <w:tc>
          <w:tcPr>
            <w:tcW w:w="48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461</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21"/>
                <w:szCs w:val="21"/>
                <w:color w:val="auto"/>
              </w:rPr>
            </w:pPr>
          </w:p>
        </w:tc>
      </w:tr>
      <w:tr>
        <w:trPr>
          <w:trHeight w:val="263"/>
        </w:trPr>
        <w:tc>
          <w:tcPr>
            <w:tcW w:w="486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14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FF0FC"/>
          </w:tcPr>
          <w:p>
            <w:pPr>
              <w:spacing w:after="0"/>
              <w:rPr>
                <w:sz w:val="22"/>
                <w:szCs w:val="22"/>
                <w:color w:val="auto"/>
              </w:rPr>
            </w:pPr>
          </w:p>
        </w:tc>
      </w:tr>
      <w:tr>
        <w:trPr>
          <w:trHeight w:val="250"/>
        </w:trPr>
        <w:tc>
          <w:tcPr>
            <w:tcW w:w="486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486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1,404</w:t>
            </w:r>
          </w:p>
        </w:tc>
        <w:tc>
          <w:tcPr>
            <w:tcW w:w="22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w:t>
            </w:r>
          </w:p>
        </w:tc>
        <w:tc>
          <w:tcPr>
            <w:tcW w:w="120" w:type="dxa"/>
            <w:vAlign w:val="bottom"/>
            <w:shd w:val="clear" w:color="auto" w:fill="CFF0FC"/>
          </w:tcPr>
          <w:p>
            <w:pPr>
              <w:spacing w:after="0"/>
              <w:rPr>
                <w:sz w:val="22"/>
                <w:szCs w:val="22"/>
                <w:color w:val="auto"/>
              </w:rPr>
            </w:pPr>
          </w:p>
        </w:tc>
      </w:tr>
      <w:tr>
        <w:trPr>
          <w:trHeight w:val="250"/>
        </w:trPr>
        <w:tc>
          <w:tcPr>
            <w:tcW w:w="48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40" w:type="dxa"/>
            <w:vAlign w:val="bottom"/>
          </w:tcPr>
          <w:p>
            <w:pPr>
              <w:spacing w:after="0"/>
              <w:rPr>
                <w:sz w:val="21"/>
                <w:szCs w:val="21"/>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(404 )</w:t>
            </w:r>
          </w:p>
        </w:tc>
        <w:tc>
          <w:tcPr>
            <w:tcW w:w="20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(201 )</w:t>
            </w:r>
          </w:p>
        </w:tc>
      </w:tr>
      <w:tr>
        <w:trPr>
          <w:trHeight w:val="290"/>
        </w:trPr>
        <w:tc>
          <w:tcPr>
            <w:tcW w:w="48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property and equipment, net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-25400</wp:posOffset>
            </wp:positionV>
            <wp:extent cx="13716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-8255</wp:posOffset>
            </wp:positionV>
            <wp:extent cx="13716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Goodwill and Intangibles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Changes in goodwill for the nine months ended September 30, 2021 is as follows:</w:t>
      </w:r>
    </w:p>
    <w:p>
      <w:pPr>
        <w:spacing w:after="0" w:line="253" w:lineRule="exact"/>
        <w:rPr>
          <w:sz w:val="20"/>
          <w:szCs w:val="20"/>
          <w:color w:val="auto"/>
        </w:rPr>
      </w:pPr>
    </w:p>
    <w:tbl>
      <w:tblPr>
        <w:tblLayout w:type="fixed"/>
        <w:tblInd w:w="2260" w:type="dxa"/>
        <w:tblCellMar>
          <w:top w:w="0" w:type="dxa"/>
          <w:left w:w="0" w:type="dxa"/>
          <w:bottom w:w="0" w:type="dxa"/>
          <w:right w:w="0" w:type="dxa"/>
        </w:tblCellMar>
      </w:tblPr>
      <w:tr>
        <w:trPr>
          <w:trHeight w:val="256"/>
        </w:trPr>
        <w:tc>
          <w:tcPr>
            <w:tcW w:w="54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2020</w:t>
            </w: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369,982</w:t>
            </w:r>
          </w:p>
        </w:tc>
        <w:tc>
          <w:tcPr>
            <w:tcW w:w="100" w:type="dxa"/>
            <w:vAlign w:val="bottom"/>
            <w:shd w:val="clear" w:color="auto" w:fill="CFF0FC"/>
          </w:tcPr>
          <w:p>
            <w:pPr>
              <w:spacing w:after="0"/>
              <w:rPr>
                <w:sz w:val="22"/>
                <w:szCs w:val="22"/>
                <w:color w:val="auto"/>
              </w:rPr>
            </w:pPr>
          </w:p>
        </w:tc>
      </w:tr>
      <w:tr>
        <w:trPr>
          <w:trHeight w:val="250"/>
        </w:trPr>
        <w:tc>
          <w:tcPr>
            <w:tcW w:w="5460" w:type="dxa"/>
            <w:vAlign w:val="bottom"/>
          </w:tcPr>
          <w:p>
            <w:pPr>
              <w:spacing w:after="0"/>
              <w:rPr>
                <w:sz w:val="20"/>
                <w:szCs w:val="20"/>
                <w:color w:val="auto"/>
              </w:rPr>
            </w:pPr>
            <w:r>
              <w:rPr>
                <w:rFonts w:ascii="Arial" w:cs="Arial" w:eastAsia="Arial" w:hAnsi="Arial"/>
                <w:sz w:val="18"/>
                <w:szCs w:val="18"/>
                <w:color w:val="auto"/>
              </w:rPr>
              <w:t>Purchase price adjustment</w:t>
            </w:r>
          </w:p>
        </w:tc>
        <w:tc>
          <w:tcPr>
            <w:tcW w:w="34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(188 )</w:t>
            </w:r>
          </w:p>
        </w:tc>
      </w:tr>
      <w:tr>
        <w:trPr>
          <w:trHeight w:val="257"/>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Increase from acquisitions</w:t>
            </w:r>
          </w:p>
        </w:tc>
        <w:tc>
          <w:tcPr>
            <w:tcW w:w="34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47,607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6"/>
        </w:trPr>
        <w:tc>
          <w:tcPr>
            <w:tcW w:w="5460" w:type="dxa"/>
            <w:vAlign w:val="bottom"/>
          </w:tcPr>
          <w:p>
            <w:pPr>
              <w:spacing w:after="0"/>
              <w:rPr>
                <w:sz w:val="20"/>
                <w:szCs w:val="20"/>
                <w:color w:val="auto"/>
              </w:rPr>
            </w:pPr>
            <w:r>
              <w:rPr>
                <w:rFonts w:ascii="Arial" w:cs="Arial" w:eastAsia="Arial" w:hAnsi="Arial"/>
                <w:sz w:val="18"/>
                <w:szCs w:val="18"/>
                <w:b w:val="1"/>
                <w:bCs w:val="1"/>
                <w:color w:val="auto"/>
              </w:rPr>
              <w:t>Balance at September 30, 2021</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417,401</w:t>
            </w:r>
          </w:p>
        </w:tc>
        <w:tc>
          <w:tcPr>
            <w:tcW w:w="100" w:type="dxa"/>
            <w:vAlign w:val="bottom"/>
          </w:tcPr>
          <w:p>
            <w:pPr>
              <w:spacing w:after="0"/>
              <w:rPr>
                <w:sz w:val="22"/>
                <w:szCs w:val="22"/>
                <w:color w:val="auto"/>
              </w:rPr>
            </w:pPr>
          </w:p>
        </w:tc>
      </w:tr>
      <w:tr>
        <w:trPr>
          <w:trHeight w:val="20"/>
        </w:trPr>
        <w:tc>
          <w:tcPr>
            <w:tcW w:w="5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-193675</wp:posOffset>
            </wp:positionV>
            <wp:extent cx="6032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Intangibles consists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1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w w:val="99"/>
              </w:rPr>
              <w:t>As of September 30, 2021</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180" w:type="dxa"/>
            <w:vAlign w:val="bottom"/>
          </w:tcPr>
          <w:p>
            <w:pPr>
              <w:spacing w:after="0"/>
              <w:rPr>
                <w:sz w:val="16"/>
                <w:szCs w:val="16"/>
                <w:color w:val="auto"/>
              </w:rPr>
            </w:pPr>
          </w:p>
        </w:tc>
      </w:tr>
      <w:tr>
        <w:trPr>
          <w:trHeight w:val="179"/>
        </w:trPr>
        <w:tc>
          <w:tcPr>
            <w:tcW w:w="114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ind w:right="135"/>
              <w:spacing w:after="0"/>
              <w:rPr>
                <w:sz w:val="20"/>
                <w:szCs w:val="20"/>
                <w:color w:val="auto"/>
              </w:rPr>
            </w:pPr>
            <w:r>
              <w:rPr>
                <w:rFonts w:ascii="Arial" w:cs="Arial" w:eastAsia="Arial" w:hAnsi="Arial"/>
                <w:sz w:val="14"/>
                <w:szCs w:val="14"/>
                <w:b w:val="1"/>
                <w:bCs w:val="1"/>
                <w:color w:val="auto"/>
              </w:rPr>
              <w:t>Gross Carrying</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1180" w:type="dxa"/>
            <w:vAlign w:val="bottom"/>
          </w:tcPr>
          <w:p>
            <w:pPr>
              <w:jc w:val="right"/>
              <w:ind w:right="194"/>
              <w:spacing w:after="0"/>
              <w:rPr>
                <w:sz w:val="20"/>
                <w:szCs w:val="20"/>
                <w:color w:val="auto"/>
              </w:rPr>
            </w:pPr>
            <w:r>
              <w:rPr>
                <w:rFonts w:ascii="Arial" w:cs="Arial" w:eastAsia="Arial" w:hAnsi="Arial"/>
                <w:sz w:val="14"/>
                <w:szCs w:val="14"/>
                <w:b w:val="1"/>
                <w:bCs w:val="1"/>
                <w:color w:val="auto"/>
              </w:rPr>
              <w:t>Net Carrying</w:t>
            </w:r>
          </w:p>
        </w:tc>
        <w:tc>
          <w:tcPr>
            <w:tcW w:w="1180" w:type="dxa"/>
            <w:vAlign w:val="bottom"/>
          </w:tcPr>
          <w:p>
            <w:pPr>
              <w:spacing w:after="0"/>
              <w:rPr>
                <w:sz w:val="15"/>
                <w:szCs w:val="15"/>
                <w:color w:val="auto"/>
              </w:rPr>
            </w:pPr>
          </w:p>
        </w:tc>
      </w:tr>
      <w:tr>
        <w:trPr>
          <w:trHeight w:val="192"/>
        </w:trPr>
        <w:tc>
          <w:tcPr>
            <w:tcW w:w="114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375"/>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180" w:type="dxa"/>
            <w:vAlign w:val="bottom"/>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1180" w:type="dxa"/>
            <w:vAlign w:val="bottom"/>
          </w:tcPr>
          <w:p>
            <w:pPr>
              <w:spacing w:after="0"/>
              <w:rPr>
                <w:sz w:val="16"/>
                <w:szCs w:val="16"/>
                <w:color w:val="auto"/>
              </w:rPr>
            </w:pPr>
          </w:p>
        </w:tc>
      </w:tr>
      <w:tr>
        <w:trPr>
          <w:trHeight w:val="283"/>
        </w:trPr>
        <w:tc>
          <w:tcPr>
            <w:tcW w:w="1140" w:type="dxa"/>
            <w:vAlign w:val="bottom"/>
          </w:tcPr>
          <w:p>
            <w:pPr>
              <w:spacing w:after="0"/>
              <w:rPr>
                <w:sz w:val="24"/>
                <w:szCs w:val="24"/>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 assets:</w:t>
            </w:r>
          </w:p>
        </w:tc>
        <w:tc>
          <w:tcPr>
            <w:tcW w:w="120" w:type="dxa"/>
            <w:vAlign w:val="bottom"/>
            <w:tcBorders>
              <w:top w:val="single" w:sz="8" w:color="auto"/>
            </w:tcBorders>
            <w:shd w:val="clear" w:color="auto" w:fill="CFF0FC"/>
          </w:tcPr>
          <w:p>
            <w:pPr>
              <w:spacing w:after="0"/>
              <w:rPr>
                <w:sz w:val="24"/>
                <w:szCs w:val="24"/>
                <w:color w:val="auto"/>
              </w:rPr>
            </w:pPr>
          </w:p>
        </w:tc>
        <w:tc>
          <w:tcPr>
            <w:tcW w:w="1280" w:type="dxa"/>
            <w:vAlign w:val="bottom"/>
            <w:tcBorders>
              <w:top w:val="single" w:sz="8" w:color="auto"/>
            </w:tcBorders>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200" w:type="dxa"/>
            <w:vAlign w:val="bottom"/>
            <w:tcBorders>
              <w:top w:val="single" w:sz="8" w:color="auto"/>
            </w:tcBorders>
            <w:shd w:val="clear" w:color="auto" w:fill="CFF0FC"/>
          </w:tcPr>
          <w:p>
            <w:pPr>
              <w:spacing w:after="0"/>
              <w:rPr>
                <w:sz w:val="24"/>
                <w:szCs w:val="24"/>
                <w:color w:val="auto"/>
              </w:rPr>
            </w:pPr>
          </w:p>
        </w:tc>
        <w:tc>
          <w:tcPr>
            <w:tcW w:w="1260" w:type="dxa"/>
            <w:vAlign w:val="bottom"/>
            <w:tcBorders>
              <w:top w:val="single" w:sz="8" w:color="auto"/>
            </w:tcBorders>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200" w:type="dxa"/>
            <w:vAlign w:val="bottom"/>
            <w:tcBorders>
              <w:top w:val="single" w:sz="8" w:color="auto"/>
            </w:tcBorders>
            <w:shd w:val="clear" w:color="auto" w:fill="CFF0FC"/>
          </w:tcPr>
          <w:p>
            <w:pPr>
              <w:spacing w:after="0"/>
              <w:rPr>
                <w:sz w:val="24"/>
                <w:szCs w:val="24"/>
                <w:color w:val="auto"/>
              </w:rPr>
            </w:pPr>
          </w:p>
        </w:tc>
        <w:tc>
          <w:tcPr>
            <w:tcW w:w="1180" w:type="dxa"/>
            <w:vAlign w:val="bottom"/>
            <w:tcBorders>
              <w:top w:val="single" w:sz="8" w:color="auto"/>
            </w:tcBorders>
            <w:shd w:val="clear" w:color="auto" w:fill="CFF0FC"/>
          </w:tcPr>
          <w:p>
            <w:pPr>
              <w:spacing w:after="0"/>
              <w:rPr>
                <w:sz w:val="24"/>
                <w:szCs w:val="24"/>
                <w:color w:val="auto"/>
              </w:rPr>
            </w:pPr>
          </w:p>
        </w:tc>
        <w:tc>
          <w:tcPr>
            <w:tcW w:w="1180" w:type="dxa"/>
            <w:vAlign w:val="bottom"/>
            <w:tcBorders>
              <w:left w:val="single" w:sz="8" w:color="CFF0FC"/>
            </w:tcBorders>
          </w:tcPr>
          <w:p>
            <w:pPr>
              <w:spacing w:after="0"/>
              <w:rPr>
                <w:sz w:val="24"/>
                <w:szCs w:val="24"/>
                <w:color w:val="auto"/>
              </w:rPr>
            </w:pPr>
          </w:p>
        </w:tc>
      </w:tr>
      <w:tr>
        <w:trPr>
          <w:trHeight w:val="277"/>
        </w:trPr>
        <w:tc>
          <w:tcPr>
            <w:tcW w:w="1140" w:type="dxa"/>
            <w:vAlign w:val="bottom"/>
          </w:tcPr>
          <w:p>
            <w:pPr>
              <w:spacing w:after="0"/>
              <w:rPr>
                <w:sz w:val="24"/>
                <w:szCs w:val="24"/>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17,350</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17,350</w:t>
            </w:r>
          </w:p>
        </w:tc>
        <w:tc>
          <w:tcPr>
            <w:tcW w:w="1180" w:type="dxa"/>
            <w:vAlign w:val="bottom"/>
          </w:tcPr>
          <w:p>
            <w:pPr>
              <w:spacing w:after="0"/>
              <w:rPr>
                <w:sz w:val="24"/>
                <w:szCs w:val="24"/>
                <w:color w:val="auto"/>
              </w:rPr>
            </w:pPr>
          </w:p>
        </w:tc>
      </w:tr>
      <w:tr>
        <w:trPr>
          <w:trHeight w:val="290"/>
        </w:trPr>
        <w:tc>
          <w:tcPr>
            <w:tcW w:w="1140" w:type="dxa"/>
            <w:vAlign w:val="bottom"/>
          </w:tcPr>
          <w:p>
            <w:pPr>
              <w:spacing w:after="0"/>
              <w:rPr>
                <w:sz w:val="24"/>
                <w:szCs w:val="24"/>
                <w:color w:val="auto"/>
              </w:rPr>
            </w:pPr>
          </w:p>
        </w:tc>
        <w:tc>
          <w:tcPr>
            <w:tcW w:w="42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Technology</w:t>
            </w:r>
          </w:p>
        </w:tc>
        <w:tc>
          <w:tcPr>
            <w:tcW w:w="120" w:type="dxa"/>
            <w:vAlign w:val="bottom"/>
            <w:tcBorders>
              <w:bottom w:val="single" w:sz="8" w:color="auto"/>
            </w:tcBorders>
            <w:shd w:val="clear" w:color="auto" w:fill="CFF0FC"/>
          </w:tcPr>
          <w:p>
            <w:pPr>
              <w:spacing w:after="0"/>
              <w:rPr>
                <w:sz w:val="24"/>
                <w:szCs w:val="2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180" w:type="dxa"/>
            <w:vAlign w:val="bottom"/>
            <w:tcBorders>
              <w:left w:val="single" w:sz="8" w:color="CFF0FC"/>
            </w:tcBorders>
          </w:tcPr>
          <w:p>
            <w:pPr>
              <w:spacing w:after="0"/>
              <w:rPr>
                <w:sz w:val="24"/>
                <w:szCs w:val="24"/>
                <w:color w:val="auto"/>
              </w:rPr>
            </w:pPr>
          </w:p>
        </w:tc>
      </w:tr>
      <w:tr>
        <w:trPr>
          <w:trHeight w:val="270"/>
        </w:trPr>
        <w:tc>
          <w:tcPr>
            <w:tcW w:w="1140" w:type="dxa"/>
            <w:vAlign w:val="bottom"/>
          </w:tcPr>
          <w:p>
            <w:pPr>
              <w:spacing w:after="0"/>
              <w:rPr>
                <w:sz w:val="23"/>
                <w:szCs w:val="23"/>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 indefinite-lived intangible assets</w:t>
            </w:r>
          </w:p>
        </w:tc>
        <w:tc>
          <w:tcPr>
            <w:tcW w:w="1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17,380</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17,380</w:t>
            </w:r>
          </w:p>
        </w:tc>
        <w:tc>
          <w:tcPr>
            <w:tcW w:w="1180" w:type="dxa"/>
            <w:vAlign w:val="bottom"/>
          </w:tcPr>
          <w:p>
            <w:pPr>
              <w:spacing w:after="0"/>
              <w:rPr>
                <w:sz w:val="23"/>
                <w:szCs w:val="23"/>
                <w:color w:val="auto"/>
              </w:rPr>
            </w:pPr>
          </w:p>
        </w:tc>
      </w:tr>
      <w:tr>
        <w:trPr>
          <w:trHeight w:val="290"/>
        </w:trPr>
        <w:tc>
          <w:tcPr>
            <w:tcW w:w="1140" w:type="dxa"/>
            <w:vAlign w:val="bottom"/>
          </w:tcPr>
          <w:p>
            <w:pPr>
              <w:spacing w:after="0"/>
              <w:rPr>
                <w:sz w:val="24"/>
                <w:szCs w:val="24"/>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Finite-lived intangible assets:</w:t>
            </w:r>
          </w:p>
        </w:tc>
        <w:tc>
          <w:tcPr>
            <w:tcW w:w="120" w:type="dxa"/>
            <w:vAlign w:val="bottom"/>
            <w:shd w:val="clear" w:color="auto" w:fill="CFF0FC"/>
          </w:tcPr>
          <w:p>
            <w:pPr>
              <w:spacing w:after="0"/>
              <w:rPr>
                <w:sz w:val="24"/>
                <w:szCs w:val="24"/>
                <w:color w:val="auto"/>
              </w:rPr>
            </w:pPr>
          </w:p>
        </w:tc>
        <w:tc>
          <w:tcPr>
            <w:tcW w:w="128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2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180" w:type="dxa"/>
            <w:vAlign w:val="bottom"/>
            <w:shd w:val="clear" w:color="auto" w:fill="CFF0FC"/>
          </w:tcPr>
          <w:p>
            <w:pPr>
              <w:spacing w:after="0"/>
              <w:rPr>
                <w:sz w:val="24"/>
                <w:szCs w:val="24"/>
                <w:color w:val="auto"/>
              </w:rPr>
            </w:pPr>
          </w:p>
        </w:tc>
        <w:tc>
          <w:tcPr>
            <w:tcW w:w="1180" w:type="dxa"/>
            <w:vAlign w:val="bottom"/>
            <w:tcBorders>
              <w:left w:val="single" w:sz="8" w:color="CFF0FC"/>
            </w:tcBorders>
          </w:tcPr>
          <w:p>
            <w:pPr>
              <w:spacing w:after="0"/>
              <w:rPr>
                <w:sz w:val="24"/>
                <w:szCs w:val="24"/>
                <w:color w:val="auto"/>
              </w:rPr>
            </w:pPr>
          </w:p>
        </w:tc>
      </w:tr>
      <w:tr>
        <w:trPr>
          <w:trHeight w:val="277"/>
        </w:trPr>
        <w:tc>
          <w:tcPr>
            <w:tcW w:w="1140" w:type="dxa"/>
            <w:vAlign w:val="bottom"/>
          </w:tcPr>
          <w:p>
            <w:pPr>
              <w:spacing w:after="0"/>
              <w:rPr>
                <w:sz w:val="24"/>
                <w:szCs w:val="24"/>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21,500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(1,392 )</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20,108</w:t>
            </w:r>
          </w:p>
        </w:tc>
        <w:tc>
          <w:tcPr>
            <w:tcW w:w="1180" w:type="dxa"/>
            <w:vAlign w:val="bottom"/>
          </w:tcPr>
          <w:p>
            <w:pPr>
              <w:spacing w:after="0"/>
              <w:rPr>
                <w:sz w:val="24"/>
                <w:szCs w:val="24"/>
                <w:color w:val="auto"/>
              </w:rPr>
            </w:pPr>
          </w:p>
        </w:tc>
      </w:tr>
      <w:tr>
        <w:trPr>
          <w:trHeight w:val="290"/>
        </w:trPr>
        <w:tc>
          <w:tcPr>
            <w:tcW w:w="1140" w:type="dxa"/>
            <w:vAlign w:val="bottom"/>
          </w:tcPr>
          <w:p>
            <w:pPr>
              <w:spacing w:after="0"/>
              <w:rPr>
                <w:sz w:val="24"/>
                <w:szCs w:val="24"/>
                <w:color w:val="auto"/>
              </w:rPr>
            </w:pPr>
          </w:p>
        </w:tc>
        <w:tc>
          <w:tcPr>
            <w:tcW w:w="4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Management and advisory contracts</w:t>
            </w:r>
          </w:p>
        </w:tc>
        <w:tc>
          <w:tcPr>
            <w:tcW w:w="12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150,646</w:t>
            </w:r>
          </w:p>
        </w:tc>
        <w:tc>
          <w:tcPr>
            <w:tcW w:w="2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(53,866 )</w:t>
            </w:r>
          </w:p>
        </w:tc>
        <w:tc>
          <w:tcPr>
            <w:tcW w:w="20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96,780</w:t>
            </w:r>
          </w:p>
        </w:tc>
        <w:tc>
          <w:tcPr>
            <w:tcW w:w="1180" w:type="dxa"/>
            <w:vAlign w:val="bottom"/>
            <w:tcBorders>
              <w:left w:val="single" w:sz="8" w:color="CFF0FC"/>
            </w:tcBorders>
          </w:tcPr>
          <w:p>
            <w:pPr>
              <w:spacing w:after="0"/>
              <w:rPr>
                <w:sz w:val="24"/>
                <w:szCs w:val="24"/>
                <w:color w:val="auto"/>
              </w:rPr>
            </w:pPr>
          </w:p>
        </w:tc>
      </w:tr>
      <w:tr>
        <w:trPr>
          <w:trHeight w:val="284"/>
        </w:trPr>
        <w:tc>
          <w:tcPr>
            <w:tcW w:w="1140" w:type="dxa"/>
            <w:vAlign w:val="bottom"/>
          </w:tcPr>
          <w:p>
            <w:pPr>
              <w:spacing w:after="0"/>
              <w:rPr>
                <w:sz w:val="24"/>
                <w:szCs w:val="24"/>
                <w:color w:val="auto"/>
              </w:rPr>
            </w:pPr>
          </w:p>
        </w:tc>
        <w:tc>
          <w:tcPr>
            <w:tcW w:w="428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8,160</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(6,122 )</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2,038</w:t>
            </w:r>
          </w:p>
        </w:tc>
        <w:tc>
          <w:tcPr>
            <w:tcW w:w="11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77"/>
        </w:trPr>
        <w:tc>
          <w:tcPr>
            <w:tcW w:w="1140" w:type="dxa"/>
            <w:vAlign w:val="bottom"/>
          </w:tcPr>
          <w:p>
            <w:pPr>
              <w:spacing w:after="0"/>
              <w:rPr>
                <w:sz w:val="24"/>
                <w:szCs w:val="24"/>
                <w:color w:val="auto"/>
              </w:rPr>
            </w:pPr>
          </w:p>
        </w:tc>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Total finite-lived intangible assets</w:t>
            </w:r>
          </w:p>
        </w:tc>
        <w:tc>
          <w:tcPr>
            <w:tcW w:w="120" w:type="dxa"/>
            <w:vAlign w:val="bottom"/>
            <w:shd w:val="clear" w:color="auto" w:fill="CFF0FC"/>
          </w:tcPr>
          <w:p>
            <w:pPr>
              <w:spacing w:after="0"/>
              <w:rPr>
                <w:sz w:val="24"/>
                <w:szCs w:val="2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180,306</w:t>
            </w:r>
          </w:p>
        </w:tc>
        <w:tc>
          <w:tcPr>
            <w:tcW w:w="2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(61,380 )</w:t>
            </w:r>
          </w:p>
        </w:tc>
        <w:tc>
          <w:tcPr>
            <w:tcW w:w="20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118,926</w:t>
            </w:r>
          </w:p>
        </w:tc>
        <w:tc>
          <w:tcPr>
            <w:tcW w:w="1180" w:type="dxa"/>
            <w:vAlign w:val="bottom"/>
            <w:tcBorders>
              <w:left w:val="single" w:sz="8" w:color="CFF0FC"/>
            </w:tcBorders>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4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180" w:type="dxa"/>
            <w:vAlign w:val="bottom"/>
            <w:tcBorders>
              <w:left w:val="single" w:sz="8" w:color="CFF0FC"/>
            </w:tcBorders>
          </w:tcPr>
          <w:p>
            <w:pPr>
              <w:spacing w:after="0" w:line="20" w:lineRule="exact"/>
              <w:rPr>
                <w:sz w:val="1"/>
                <w:szCs w:val="1"/>
                <w:color w:val="auto"/>
              </w:rPr>
            </w:pPr>
          </w:p>
        </w:tc>
      </w:tr>
      <w:tr>
        <w:trPr>
          <w:trHeight w:val="277"/>
        </w:trPr>
        <w:tc>
          <w:tcPr>
            <w:tcW w:w="114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Total intangible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197,686</w:t>
            </w:r>
          </w:p>
        </w:tc>
        <w:tc>
          <w:tcPr>
            <w:tcW w:w="2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(61,380 )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136,306</w:t>
            </w:r>
          </w:p>
        </w:tc>
        <w:tc>
          <w:tcPr>
            <w:tcW w:w="118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87"/>
        </w:trPr>
        <w:tc>
          <w:tcPr>
            <w:tcW w:w="114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1035"/>
              <w:spacing w:after="0"/>
              <w:rPr>
                <w:sz w:val="20"/>
                <w:szCs w:val="20"/>
                <w:color w:val="auto"/>
              </w:rPr>
            </w:pPr>
            <w:r>
              <w:rPr>
                <w:rFonts w:ascii="Arial" w:cs="Arial" w:eastAsia="Arial" w:hAnsi="Arial"/>
                <w:sz w:val="14"/>
                <w:szCs w:val="14"/>
                <w:color w:val="auto"/>
                <w:w w:val="89"/>
              </w:rPr>
              <w:t>22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89"/>
        </w:trPr>
        <w:tc>
          <w:tcPr>
            <w:tcW w:w="1140" w:type="dxa"/>
            <w:vAlign w:val="bottom"/>
            <w:tcBorders>
              <w:bottom w:val="single" w:sz="8" w:color="9A9A9A"/>
            </w:tcBorders>
          </w:tcPr>
          <w:p>
            <w:pPr>
              <w:spacing w:after="0"/>
              <w:rPr>
                <w:sz w:val="24"/>
                <w:szCs w:val="24"/>
                <w:color w:val="auto"/>
              </w:rPr>
            </w:pPr>
          </w:p>
        </w:tc>
        <w:tc>
          <w:tcPr>
            <w:tcW w:w="4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-1762125</wp:posOffset>
            </wp:positionV>
            <wp:extent cx="12890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-1762125</wp:posOffset>
            </wp:positionV>
            <wp:extent cx="13716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-1762125</wp:posOffset>
            </wp:positionV>
            <wp:extent cx="3429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-664845</wp:posOffset>
            </wp:positionV>
            <wp:extent cx="12890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-664845</wp:posOffset>
            </wp:positionV>
            <wp:extent cx="13716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-664845</wp:posOffset>
            </wp:positionV>
            <wp:extent cx="3429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135"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41" w:lineRule="exact"/>
        <w:rPr>
          <w:sz w:val="20"/>
          <w:szCs w:val="20"/>
          <w:color w:val="auto"/>
        </w:rPr>
      </w:pPr>
    </w:p>
    <w:tbl>
      <w:tblPr>
        <w:tblLayout w:type="fixed"/>
        <w:tblInd w:w="1140" w:type="dxa"/>
        <w:tblCellMar>
          <w:top w:w="0" w:type="dxa"/>
          <w:left w:w="0" w:type="dxa"/>
          <w:bottom w:w="0" w:type="dxa"/>
          <w:right w:w="0" w:type="dxa"/>
        </w:tblCellMar>
      </w:tblPr>
      <w:tr>
        <w:trPr>
          <w:trHeight w:val="192"/>
        </w:trPr>
        <w:tc>
          <w:tcPr>
            <w:tcW w:w="4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As of December 31, 2020</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79"/>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134"/>
              <w:spacing w:after="0"/>
              <w:rPr>
                <w:sz w:val="20"/>
                <w:szCs w:val="20"/>
                <w:color w:val="auto"/>
              </w:rPr>
            </w:pPr>
            <w:r>
              <w:rPr>
                <w:rFonts w:ascii="Arial" w:cs="Arial" w:eastAsia="Arial" w:hAnsi="Arial"/>
                <w:sz w:val="14"/>
                <w:szCs w:val="14"/>
                <w:b w:val="1"/>
                <w:bCs w:val="1"/>
                <w:color w:val="auto"/>
                <w:w w:val="98"/>
              </w:rPr>
              <w:t>Gross Carrying</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5"/>
                <w:szCs w:val="15"/>
                <w:color w:val="auto"/>
              </w:rPr>
            </w:pPr>
          </w:p>
        </w:tc>
        <w:tc>
          <w:tcPr>
            <w:tcW w:w="1180" w:type="dxa"/>
            <w:vAlign w:val="bottom"/>
          </w:tcPr>
          <w:p>
            <w:pPr>
              <w:jc w:val="right"/>
              <w:ind w:right="194"/>
              <w:spacing w:after="0"/>
              <w:rPr>
                <w:sz w:val="20"/>
                <w:szCs w:val="20"/>
                <w:color w:val="auto"/>
              </w:rPr>
            </w:pPr>
            <w:r>
              <w:rPr>
                <w:rFonts w:ascii="Arial" w:cs="Arial" w:eastAsia="Arial" w:hAnsi="Arial"/>
                <w:sz w:val="14"/>
                <w:szCs w:val="14"/>
                <w:b w:val="1"/>
                <w:bCs w:val="1"/>
                <w:color w:val="auto"/>
              </w:rPr>
              <w:t>Net Carrying</w:t>
            </w:r>
          </w:p>
        </w:tc>
        <w:tc>
          <w:tcPr>
            <w:tcW w:w="60" w:type="dxa"/>
            <w:vAlign w:val="bottom"/>
          </w:tcPr>
          <w:p>
            <w:pPr>
              <w:spacing w:after="0"/>
              <w:rPr>
                <w:sz w:val="15"/>
                <w:szCs w:val="15"/>
                <w:color w:val="auto"/>
              </w:rPr>
            </w:pPr>
          </w:p>
        </w:tc>
      </w:tr>
      <w:tr>
        <w:trPr>
          <w:trHeight w:val="192"/>
        </w:trPr>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374"/>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6"/>
                <w:szCs w:val="16"/>
                <w:color w:val="auto"/>
              </w:rPr>
            </w:pPr>
          </w:p>
        </w:tc>
        <w:tc>
          <w:tcPr>
            <w:tcW w:w="1180" w:type="dxa"/>
            <w:vAlign w:val="bottom"/>
          </w:tcPr>
          <w:p>
            <w:pPr>
              <w:jc w:val="right"/>
              <w:ind w:right="354"/>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r>
      <w:tr>
        <w:trPr>
          <w:trHeight w:val="28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 assets:</w:t>
            </w:r>
          </w:p>
        </w:tc>
        <w:tc>
          <w:tcPr>
            <w:tcW w:w="160" w:type="dxa"/>
            <w:vAlign w:val="bottom"/>
            <w:tcBorders>
              <w:top w:val="single" w:sz="8" w:color="auto"/>
            </w:tcBorders>
            <w:shd w:val="clear" w:color="auto" w:fill="CFF0FC"/>
          </w:tcPr>
          <w:p>
            <w:pPr>
              <w:spacing w:after="0"/>
              <w:rPr>
                <w:sz w:val="24"/>
                <w:szCs w:val="24"/>
                <w:color w:val="auto"/>
              </w:rPr>
            </w:pPr>
          </w:p>
        </w:tc>
        <w:tc>
          <w:tcPr>
            <w:tcW w:w="1240" w:type="dxa"/>
            <w:vAlign w:val="bottom"/>
            <w:tcBorders>
              <w:top w:val="single" w:sz="8" w:color="auto"/>
            </w:tcBorders>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200" w:type="dxa"/>
            <w:vAlign w:val="bottom"/>
            <w:tcBorders>
              <w:top w:val="single" w:sz="8" w:color="auto"/>
            </w:tcBorders>
            <w:shd w:val="clear" w:color="auto" w:fill="CFF0FC"/>
          </w:tcPr>
          <w:p>
            <w:pPr>
              <w:spacing w:after="0"/>
              <w:rPr>
                <w:sz w:val="24"/>
                <w:szCs w:val="24"/>
                <w:color w:val="auto"/>
              </w:rPr>
            </w:pPr>
          </w:p>
        </w:tc>
        <w:tc>
          <w:tcPr>
            <w:tcW w:w="1260" w:type="dxa"/>
            <w:vAlign w:val="bottom"/>
            <w:tcBorders>
              <w:top w:val="single" w:sz="8" w:color="auto"/>
            </w:tcBorders>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200" w:type="dxa"/>
            <w:vAlign w:val="bottom"/>
            <w:tcBorders>
              <w:top w:val="single" w:sz="8" w:color="auto"/>
            </w:tcBorders>
            <w:shd w:val="clear" w:color="auto" w:fill="CFF0FC"/>
          </w:tcPr>
          <w:p>
            <w:pPr>
              <w:spacing w:after="0"/>
              <w:rPr>
                <w:sz w:val="24"/>
                <w:szCs w:val="24"/>
                <w:color w:val="auto"/>
              </w:rPr>
            </w:pPr>
          </w:p>
        </w:tc>
        <w:tc>
          <w:tcPr>
            <w:tcW w:w="1180" w:type="dxa"/>
            <w:vAlign w:val="bottom"/>
            <w:tcBorders>
              <w:top w:val="single" w:sz="8" w:color="auto"/>
            </w:tcBorders>
            <w:shd w:val="clear" w:color="auto" w:fill="CFF0FC"/>
          </w:tcPr>
          <w:p>
            <w:pPr>
              <w:spacing w:after="0"/>
              <w:rPr>
                <w:sz w:val="24"/>
                <w:szCs w:val="24"/>
                <w:color w:val="auto"/>
              </w:rPr>
            </w:pPr>
          </w:p>
        </w:tc>
        <w:tc>
          <w:tcPr>
            <w:tcW w:w="60" w:type="dxa"/>
            <w:vAlign w:val="bottom"/>
            <w:shd w:val="clear" w:color="auto" w:fill="CFF0FC"/>
          </w:tcPr>
          <w:p>
            <w:pPr>
              <w:spacing w:after="0"/>
              <w:rPr>
                <w:sz w:val="24"/>
                <w:szCs w:val="24"/>
                <w:color w:val="auto"/>
              </w:rPr>
            </w:pPr>
          </w:p>
        </w:tc>
      </w:tr>
      <w:tr>
        <w:trPr>
          <w:trHeight w:val="283"/>
        </w:trPr>
        <w:tc>
          <w:tcPr>
            <w:tcW w:w="428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17,350</w:t>
            </w:r>
          </w:p>
        </w:tc>
        <w:tc>
          <w:tcPr>
            <w:tcW w:w="20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17,350</w:t>
            </w:r>
          </w:p>
        </w:tc>
        <w:tc>
          <w:tcPr>
            <w:tcW w:w="60" w:type="dxa"/>
            <w:vAlign w:val="bottom"/>
          </w:tcPr>
          <w:p>
            <w:pPr>
              <w:spacing w:after="0"/>
              <w:rPr>
                <w:sz w:val="24"/>
                <w:szCs w:val="24"/>
                <w:color w:val="auto"/>
              </w:rPr>
            </w:pPr>
          </w:p>
        </w:tc>
      </w:tr>
      <w:tr>
        <w:trPr>
          <w:trHeight w:val="27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Total indefinite-lived intangible assets</w:t>
            </w:r>
          </w:p>
        </w:tc>
        <w:tc>
          <w:tcPr>
            <w:tcW w:w="160" w:type="dxa"/>
            <w:vAlign w:val="bottom"/>
            <w:shd w:val="clear" w:color="auto" w:fill="CFF0FC"/>
          </w:tcPr>
          <w:p>
            <w:pPr>
              <w:spacing w:after="0"/>
              <w:rPr>
                <w:sz w:val="24"/>
                <w:szCs w:val="2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17,350</w:t>
            </w:r>
          </w:p>
        </w:tc>
        <w:tc>
          <w:tcPr>
            <w:tcW w:w="2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17,350</w:t>
            </w:r>
          </w:p>
        </w:tc>
        <w:tc>
          <w:tcPr>
            <w:tcW w:w="60" w:type="dxa"/>
            <w:vAlign w:val="bottom"/>
            <w:shd w:val="clear" w:color="auto" w:fill="CFF0FC"/>
          </w:tcPr>
          <w:p>
            <w:pPr>
              <w:spacing w:after="0"/>
              <w:rPr>
                <w:sz w:val="24"/>
                <w:szCs w:val="24"/>
                <w:color w:val="auto"/>
              </w:rPr>
            </w:pPr>
          </w:p>
        </w:tc>
      </w:tr>
      <w:tr>
        <w:trPr>
          <w:trHeight w:val="277"/>
        </w:trPr>
        <w:tc>
          <w:tcPr>
            <w:tcW w:w="428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90"/>
        </w:trPr>
        <w:tc>
          <w:tcPr>
            <w:tcW w:w="4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Trade names</w:t>
            </w:r>
          </w:p>
        </w:tc>
        <w:tc>
          <w:tcPr>
            <w:tcW w:w="160" w:type="dxa"/>
            <w:vAlign w:val="bottom"/>
            <w:shd w:val="clear" w:color="auto" w:fill="CFF0FC"/>
          </w:tcPr>
          <w:p>
            <w:pPr>
              <w:spacing w:after="0"/>
              <w:rPr>
                <w:sz w:val="24"/>
                <w:szCs w:val="2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17,360</w:t>
            </w:r>
          </w:p>
        </w:tc>
        <w:tc>
          <w:tcPr>
            <w:tcW w:w="2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(368 )</w:t>
            </w:r>
          </w:p>
        </w:tc>
        <w:tc>
          <w:tcPr>
            <w:tcW w:w="20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16,992</w:t>
            </w:r>
          </w:p>
        </w:tc>
        <w:tc>
          <w:tcPr>
            <w:tcW w:w="60" w:type="dxa"/>
            <w:vAlign w:val="bottom"/>
            <w:shd w:val="clear" w:color="auto" w:fill="CFF0FC"/>
          </w:tcPr>
          <w:p>
            <w:pPr>
              <w:spacing w:after="0"/>
              <w:rPr>
                <w:sz w:val="24"/>
                <w:szCs w:val="24"/>
                <w:color w:val="auto"/>
              </w:rPr>
            </w:pPr>
          </w:p>
        </w:tc>
      </w:tr>
      <w:tr>
        <w:trPr>
          <w:trHeight w:val="277"/>
        </w:trPr>
        <w:tc>
          <w:tcPr>
            <w:tcW w:w="4280" w:type="dxa"/>
            <w:vAlign w:val="bottom"/>
          </w:tcPr>
          <w:p>
            <w:pPr>
              <w:ind w:left="180"/>
              <w:spacing w:after="0"/>
              <w:rPr>
                <w:sz w:val="20"/>
                <w:szCs w:val="20"/>
                <w:color w:val="auto"/>
              </w:rPr>
            </w:pPr>
            <w:r>
              <w:rPr>
                <w:rFonts w:ascii="Arial" w:cs="Arial" w:eastAsia="Arial" w:hAnsi="Arial"/>
                <w:sz w:val="18"/>
                <w:szCs w:val="18"/>
                <w:color w:val="auto"/>
              </w:rPr>
              <w:t>Management and advisory contracts</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139,796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(33,967 )</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105,829</w:t>
            </w:r>
          </w:p>
        </w:tc>
        <w:tc>
          <w:tcPr>
            <w:tcW w:w="60" w:type="dxa"/>
            <w:vAlign w:val="bottom"/>
          </w:tcPr>
          <w:p>
            <w:pPr>
              <w:spacing w:after="0"/>
              <w:rPr>
                <w:sz w:val="24"/>
                <w:szCs w:val="24"/>
                <w:color w:val="auto"/>
              </w:rPr>
            </w:pPr>
          </w:p>
        </w:tc>
      </w:tr>
      <w:tr>
        <w:trPr>
          <w:trHeight w:val="290"/>
        </w:trPr>
        <w:tc>
          <w:tcPr>
            <w:tcW w:w="4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FF0FC"/>
          </w:tcPr>
          <w:p>
            <w:pPr>
              <w:spacing w:after="0"/>
              <w:rPr>
                <w:sz w:val="24"/>
                <w:szCs w:val="24"/>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8,160</w:t>
            </w:r>
          </w:p>
        </w:tc>
        <w:tc>
          <w:tcPr>
            <w:tcW w:w="20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(4,593 )</w:t>
            </w:r>
          </w:p>
        </w:tc>
        <w:tc>
          <w:tcPr>
            <w:tcW w:w="200" w:type="dxa"/>
            <w:vAlign w:val="bottom"/>
            <w:shd w:val="clear" w:color="auto" w:fill="CFF0FC"/>
          </w:tcPr>
          <w:p>
            <w:pPr>
              <w:spacing w:after="0"/>
              <w:rPr>
                <w:sz w:val="24"/>
                <w:szCs w:val="2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3,567</w:t>
            </w:r>
          </w:p>
        </w:tc>
        <w:tc>
          <w:tcPr>
            <w:tcW w:w="60" w:type="dxa"/>
            <w:vAlign w:val="bottom"/>
            <w:shd w:val="clear" w:color="auto" w:fill="CFF0FC"/>
          </w:tcPr>
          <w:p>
            <w:pPr>
              <w:spacing w:after="0"/>
              <w:rPr>
                <w:sz w:val="24"/>
                <w:szCs w:val="24"/>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r>
      <w:tr>
        <w:trPr>
          <w:trHeight w:val="277"/>
        </w:trPr>
        <w:tc>
          <w:tcPr>
            <w:tcW w:w="428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165,316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(38,928 )</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126,388</w:t>
            </w:r>
          </w:p>
        </w:tc>
        <w:tc>
          <w:tcPr>
            <w:tcW w:w="60" w:type="dxa"/>
            <w:vAlign w:val="bottom"/>
          </w:tcPr>
          <w:p>
            <w:pPr>
              <w:spacing w:after="0"/>
              <w:rPr>
                <w:sz w:val="24"/>
                <w:szCs w:val="24"/>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7"/>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182,666</w:t>
            </w:r>
          </w:p>
        </w:tc>
        <w:tc>
          <w:tcPr>
            <w:tcW w:w="200" w:type="dxa"/>
            <w:vAlign w:val="bottom"/>
            <w:shd w:val="clear" w:color="auto" w:fill="CFF0FC"/>
          </w:tcPr>
          <w:p>
            <w:pPr>
              <w:spacing w:after="0"/>
              <w:rPr>
                <w:sz w:val="24"/>
                <w:szCs w:val="24"/>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(38,928 )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143,738</w:t>
            </w:r>
          </w:p>
        </w:tc>
        <w:tc>
          <w:tcPr>
            <w:tcW w:w="60" w:type="dxa"/>
            <w:vAlign w:val="bottom"/>
            <w:shd w:val="clear" w:color="auto" w:fill="CFF0FC"/>
          </w:tcPr>
          <w:p>
            <w:pPr>
              <w:spacing w:after="0"/>
              <w:rPr>
                <w:sz w:val="24"/>
                <w:szCs w:val="24"/>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-399415</wp:posOffset>
            </wp:positionV>
            <wp:extent cx="128905"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-399415</wp:posOffset>
            </wp:positionV>
            <wp:extent cx="13716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-399415</wp:posOffset>
            </wp:positionV>
            <wp:extent cx="3429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-24765</wp:posOffset>
            </wp:positionV>
            <wp:extent cx="12890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-7620</wp:posOffset>
            </wp:positionV>
            <wp:extent cx="1289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13716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-7620</wp:posOffset>
            </wp:positionV>
            <wp:extent cx="1371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-24765</wp:posOffset>
            </wp:positionV>
            <wp:extent cx="342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-7620</wp:posOffset>
            </wp:positionV>
            <wp:extent cx="342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Management and advisory contracts and finite lived trade names are amortized over 7 - 16 years and are being amortized in line with pattern in which the economic benefits arise. Technology is amortized on a straight-line basis over 4 years. The amortization expense for each of the next five years and thereafter are as follows:</w:t>
      </w:r>
    </w:p>
    <w:p>
      <w:pPr>
        <w:spacing w:after="0" w:line="197" w:lineRule="exact"/>
        <w:rPr>
          <w:sz w:val="20"/>
          <w:szCs w:val="20"/>
          <w:color w:val="auto"/>
        </w:rPr>
      </w:pPr>
    </w:p>
    <w:tbl>
      <w:tblPr>
        <w:tblLayout w:type="fixed"/>
        <w:tblInd w:w="2260" w:type="dxa"/>
        <w:tblCellMar>
          <w:top w:w="0" w:type="dxa"/>
          <w:left w:w="0" w:type="dxa"/>
          <w:bottom w:w="0" w:type="dxa"/>
          <w:right w:w="0" w:type="dxa"/>
        </w:tblCellMar>
      </w:tblPr>
      <w:tr>
        <w:trPr>
          <w:trHeight w:val="257"/>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7,980</w:t>
            </w:r>
          </w:p>
        </w:tc>
        <w:tc>
          <w:tcPr>
            <w:tcW w:w="100" w:type="dxa"/>
            <w:vAlign w:val="bottom"/>
            <w:shd w:val="clear" w:color="auto" w:fill="CFF0FC"/>
          </w:tcPr>
          <w:p>
            <w:pPr>
              <w:spacing w:after="0"/>
              <w:rPr>
                <w:sz w:val="22"/>
                <w:szCs w:val="22"/>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24,545</w:t>
            </w:r>
          </w:p>
        </w:tc>
        <w:tc>
          <w:tcPr>
            <w:tcW w:w="100" w:type="dxa"/>
            <w:vAlign w:val="bottom"/>
          </w:tcPr>
          <w:p>
            <w:pPr>
              <w:spacing w:after="0"/>
              <w:rPr>
                <w:sz w:val="21"/>
                <w:szCs w:val="21"/>
                <w:color w:val="auto"/>
              </w:rPr>
            </w:pPr>
          </w:p>
        </w:tc>
      </w:tr>
      <w:tr>
        <w:trPr>
          <w:trHeight w:val="26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21,098</w:t>
            </w:r>
          </w:p>
        </w:tc>
        <w:tc>
          <w:tcPr>
            <w:tcW w:w="100" w:type="dxa"/>
            <w:vAlign w:val="bottom"/>
            <w:shd w:val="clear" w:color="auto" w:fill="CFF0FC"/>
          </w:tcPr>
          <w:p>
            <w:pPr>
              <w:spacing w:after="0"/>
              <w:rPr>
                <w:sz w:val="22"/>
                <w:szCs w:val="22"/>
                <w:color w:val="auto"/>
              </w:rPr>
            </w:pPr>
          </w:p>
        </w:tc>
      </w:tr>
      <w:tr>
        <w:trPr>
          <w:trHeight w:val="250"/>
        </w:trPr>
        <w:tc>
          <w:tcPr>
            <w:tcW w:w="5500" w:type="dxa"/>
            <w:vAlign w:val="bottom"/>
          </w:tcPr>
          <w:p>
            <w:pPr>
              <w:spacing w:after="0"/>
              <w:rPr>
                <w:sz w:val="20"/>
                <w:szCs w:val="20"/>
                <w:color w:val="auto"/>
              </w:rPr>
            </w:pPr>
            <w:r>
              <w:rPr>
                <w:rFonts w:ascii="Arial" w:cs="Arial" w:eastAsia="Arial" w:hAnsi="Arial"/>
                <w:sz w:val="18"/>
                <w:szCs w:val="18"/>
                <w:color w:val="auto"/>
              </w:rPr>
              <w:t>2024</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17,532</w:t>
            </w:r>
          </w:p>
        </w:tc>
        <w:tc>
          <w:tcPr>
            <w:tcW w:w="100" w:type="dxa"/>
            <w:vAlign w:val="bottom"/>
          </w:tcPr>
          <w:p>
            <w:pPr>
              <w:spacing w:after="0"/>
              <w:rPr>
                <w:sz w:val="21"/>
                <w:szCs w:val="21"/>
                <w:color w:val="auto"/>
              </w:rPr>
            </w:pPr>
          </w:p>
        </w:tc>
      </w:tr>
      <w:tr>
        <w:trPr>
          <w:trHeight w:val="263"/>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2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13,749</w:t>
            </w:r>
          </w:p>
        </w:tc>
        <w:tc>
          <w:tcPr>
            <w:tcW w:w="100" w:type="dxa"/>
            <w:vAlign w:val="bottom"/>
            <w:shd w:val="clear" w:color="auto" w:fill="CFF0FC"/>
          </w:tcPr>
          <w:p>
            <w:pPr>
              <w:spacing w:after="0"/>
              <w:rPr>
                <w:sz w:val="22"/>
                <w:szCs w:val="22"/>
                <w:color w:val="auto"/>
              </w:rPr>
            </w:pPr>
          </w:p>
        </w:tc>
      </w:tr>
      <w:tr>
        <w:trPr>
          <w:trHeight w:val="256"/>
        </w:trPr>
        <w:tc>
          <w:tcPr>
            <w:tcW w:w="5500" w:type="dxa"/>
            <w:vAlign w:val="bottom"/>
          </w:tcPr>
          <w:p>
            <w:pPr>
              <w:spacing w:after="0"/>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34,022</w:t>
            </w:r>
          </w:p>
        </w:tc>
        <w:tc>
          <w:tcPr>
            <w:tcW w:w="100" w:type="dxa"/>
            <w:vAlign w:val="bottom"/>
          </w:tcPr>
          <w:p>
            <w:pPr>
              <w:spacing w:after="0"/>
              <w:rPr>
                <w:sz w:val="22"/>
                <w:szCs w:val="22"/>
                <w:color w:val="auto"/>
              </w:rPr>
            </w:pPr>
          </w:p>
        </w:tc>
      </w:tr>
      <w:tr>
        <w:trPr>
          <w:trHeight w:val="290"/>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amortization</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118,926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6"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7"/>
          <w:szCs w:val="17"/>
          <w:color w:val="auto"/>
        </w:rPr>
        <w:t>During the nine months ended September 30, 2021, we identified adjustments related to the timing of amortization of certain finite lived intangible assets. The table above has been adjusted to reflect those timing differences. There was no impact to the Consolidated Statement of Operations nor the Consolidated Balance Sheets as the adjustments related to amounts scheduled to be expensed subsequent to December 31, 2020. We do not believe the impact of the adjustments is material to our consolidated financial statements for any previously issued financial statements taken as a whole, and any impact to our expected net income for future periods has been adjusted for in the table above.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Debt Obligations</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obligations consists of the following:</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6"/>
                <w:szCs w:val="16"/>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r>
      <w:tr>
        <w:trPr>
          <w:trHeight w:val="203"/>
        </w:trPr>
        <w:tc>
          <w:tcPr>
            <w:tcW w:w="4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r>
      <w:tr>
        <w:trPr>
          <w:trHeight w:val="208"/>
        </w:trPr>
        <w:tc>
          <w:tcPr>
            <w:tcW w:w="49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8"/>
                <w:szCs w:val="18"/>
                <w:color w:val="auto"/>
              </w:rPr>
            </w:pPr>
          </w:p>
        </w:tc>
      </w:tr>
      <w:tr>
        <w:trPr>
          <w:trHeight w:val="256"/>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Gross revolving credit facility state tax credits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w:t>
            </w:r>
          </w:p>
        </w:tc>
        <w:tc>
          <w:tcPr>
            <w:tcW w:w="120" w:type="dxa"/>
            <w:vAlign w:val="bottom"/>
            <w:shd w:val="clear" w:color="auto" w:fill="CFF0FC"/>
          </w:tcPr>
          <w:p>
            <w:pPr>
              <w:spacing w:after="0"/>
              <w:rPr>
                <w:sz w:val="22"/>
                <w:szCs w:val="22"/>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Debt issuance costs</w:t>
            </w:r>
          </w:p>
        </w:tc>
        <w:tc>
          <w:tcPr>
            <w:tcW w:w="16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(12 )</w:t>
            </w:r>
          </w:p>
        </w:tc>
        <w:tc>
          <w:tcPr>
            <w:tcW w:w="18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(25 )</w:t>
            </w:r>
          </w:p>
        </w:tc>
      </w:tr>
      <w:tr>
        <w:trPr>
          <w:trHeight w:val="20"/>
        </w:trPr>
        <w:tc>
          <w:tcPr>
            <w:tcW w:w="49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Revolving credit facility state tax credits, net</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w:t>
            </w:r>
          </w:p>
        </w:tc>
        <w:tc>
          <w:tcPr>
            <w:tcW w:w="120" w:type="dxa"/>
            <w:vAlign w:val="bottom"/>
            <w:shd w:val="clear" w:color="auto" w:fill="CFF0FC"/>
          </w:tcPr>
          <w:p>
            <w:pPr>
              <w:spacing w:after="0"/>
              <w:rPr>
                <w:sz w:val="21"/>
                <w:szCs w:val="21"/>
                <w:color w:val="auto"/>
              </w:rPr>
            </w:pPr>
          </w:p>
        </w:tc>
      </w:tr>
      <w:tr>
        <w:trPr>
          <w:trHeight w:val="250"/>
        </w:trPr>
        <w:tc>
          <w:tcPr>
            <w:tcW w:w="49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Gross notes payable to sellers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41,064</w:t>
            </w:r>
          </w:p>
        </w:tc>
        <w:tc>
          <w:tcPr>
            <w:tcW w:w="200" w:type="dxa"/>
            <w:vAlign w:val="bottom"/>
            <w:tcBorders>
              <w:top w:val="single" w:sz="8" w:color="CFF0FC"/>
            </w:tcBorders>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41,064</w:t>
            </w:r>
          </w:p>
        </w:tc>
        <w:tc>
          <w:tcPr>
            <w:tcW w:w="120" w:type="dxa"/>
            <w:vAlign w:val="bottom"/>
            <w:tcBorders>
              <w:top w:val="single" w:sz="8" w:color="CFF0FC"/>
            </w:tcBorders>
          </w:tcPr>
          <w:p>
            <w:pPr>
              <w:spacing w:after="0"/>
              <w:rPr>
                <w:sz w:val="21"/>
                <w:szCs w:val="21"/>
                <w:color w:val="auto"/>
              </w:rPr>
            </w:pPr>
          </w:p>
        </w:tc>
      </w:tr>
      <w:tr>
        <w:trPr>
          <w:trHeight w:val="257"/>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Less debt discount</w:t>
            </w:r>
          </w:p>
        </w:tc>
        <w:tc>
          <w:tcPr>
            <w:tcW w:w="16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(8,548 )</w:t>
            </w:r>
          </w:p>
        </w:tc>
        <w:tc>
          <w:tcPr>
            <w:tcW w:w="18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(9,205 )</w:t>
            </w:r>
          </w:p>
        </w:tc>
      </w:tr>
      <w:tr>
        <w:trPr>
          <w:trHeight w:val="250"/>
        </w:trPr>
        <w:tc>
          <w:tcPr>
            <w:tcW w:w="492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Notes payable to sellers, net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32,516</w:t>
            </w:r>
          </w:p>
        </w:tc>
        <w:tc>
          <w:tcPr>
            <w:tcW w:w="20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31,859</w:t>
            </w:r>
          </w:p>
        </w:tc>
        <w:tc>
          <w:tcPr>
            <w:tcW w:w="120" w:type="dxa"/>
            <w:vAlign w:val="bottom"/>
            <w:tcBorders>
              <w:top w:val="single" w:sz="8" w:color="CFF0FC"/>
            </w:tcBorders>
          </w:tcPr>
          <w:p>
            <w:pPr>
              <w:spacing w:after="0"/>
              <w:rPr>
                <w:sz w:val="21"/>
                <w:szCs w:val="21"/>
                <w:color w:val="auto"/>
              </w:rPr>
            </w:pPr>
          </w:p>
        </w:tc>
      </w:tr>
      <w:tr>
        <w:trPr>
          <w:trHeight w:val="257"/>
        </w:trPr>
        <w:tc>
          <w:tcPr>
            <w:tcW w:w="4920" w:type="dxa"/>
            <w:vAlign w:val="bottom"/>
            <w:shd w:val="clear" w:color="auto" w:fill="CFF0FC"/>
          </w:tcPr>
          <w:p>
            <w:pPr>
              <w:spacing w:after="0"/>
              <w:rPr>
                <w:sz w:val="20"/>
                <w:szCs w:val="20"/>
                <w:color w:val="auto"/>
              </w:rPr>
            </w:pPr>
            <w:r>
              <w:rPr>
                <w:rFonts w:ascii="Arial" w:cs="Arial" w:eastAsia="Arial" w:hAnsi="Arial"/>
                <w:sz w:val="18"/>
                <w:szCs w:val="18"/>
                <w:color w:val="auto"/>
              </w:rPr>
              <w:t>Gross credit and guaranty facility</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286,847</w:t>
            </w:r>
          </w:p>
        </w:tc>
        <w:tc>
          <w:tcPr>
            <w:tcW w:w="20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261,683</w:t>
            </w:r>
          </w:p>
        </w:tc>
        <w:tc>
          <w:tcPr>
            <w:tcW w:w="120" w:type="dxa"/>
            <w:vAlign w:val="bottom"/>
            <w:shd w:val="clear" w:color="auto" w:fill="CFF0FC"/>
          </w:tcPr>
          <w:p>
            <w:pPr>
              <w:spacing w:after="0"/>
              <w:rPr>
                <w:sz w:val="22"/>
                <w:szCs w:val="22"/>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Debt issuance costs</w:t>
            </w:r>
          </w:p>
        </w:tc>
        <w:tc>
          <w:tcPr>
            <w:tcW w:w="160" w:type="dxa"/>
            <w:vAlign w:val="bottom"/>
          </w:tcPr>
          <w:p>
            <w:pPr>
              <w:spacing w:after="0"/>
              <w:rPr>
                <w:sz w:val="21"/>
                <w:szCs w:val="21"/>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(3,834 )</w:t>
            </w:r>
          </w:p>
        </w:tc>
        <w:tc>
          <w:tcPr>
            <w:tcW w:w="18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(4,995 )</w:t>
            </w:r>
          </w:p>
        </w:tc>
      </w:tr>
      <w:tr>
        <w:trPr>
          <w:trHeight w:val="250"/>
        </w:trPr>
        <w:tc>
          <w:tcPr>
            <w:tcW w:w="49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Credit and guaranty facility, net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283,013</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256,688</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8"/>
                <w:szCs w:val="18"/>
                <w:color w:val="auto"/>
              </w:rPr>
              <w:t>Total debt obligations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315,517</w:t>
            </w:r>
          </w:p>
        </w:tc>
        <w:tc>
          <w:tcPr>
            <w:tcW w:w="2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290,055</w:t>
            </w:r>
          </w:p>
        </w:tc>
        <w:tc>
          <w:tcPr>
            <w:tcW w:w="120" w:type="dxa"/>
            <w:vAlign w:val="bottom"/>
          </w:tcPr>
          <w:p>
            <w:pPr>
              <w:spacing w:after="0"/>
              <w:rPr>
                <w:sz w:val="21"/>
                <w:szCs w:val="21"/>
                <w:color w:val="auto"/>
              </w:rPr>
            </w:pPr>
          </w:p>
        </w:tc>
      </w:tr>
      <w:tr>
        <w:trPr>
          <w:trHeight w:val="20"/>
        </w:trPr>
        <w:tc>
          <w:tcPr>
            <w:tcW w:w="4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-1205230</wp:posOffset>
            </wp:positionV>
            <wp:extent cx="13716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-1205230</wp:posOffset>
            </wp:positionV>
            <wp:extent cx="6858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-870585</wp:posOffset>
            </wp:positionV>
            <wp:extent cx="13716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-870585</wp:posOffset>
            </wp:positionV>
            <wp:extent cx="6858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-193675</wp:posOffset>
            </wp:positionV>
            <wp:extent cx="13716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-193675</wp:posOffset>
            </wp:positionV>
            <wp:extent cx="68580"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 State Tax Credits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14"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Enhanced State Tax Credit Fund III, LLC, a subsidiary of ECG, has a $10 million revolving credit facility with a regional financial institution restricted solely for the purchase of allocable state tax credits from various state tax credit incentive programs. The facility bears interest at 0.25% above the Prime Rate and matures on June 15, 2022. As of September 30, 2021 and December 31, 2020, the credit facility had an outstanding balance of $0 and $1.5 million, respectively, and is reported net of unamortized debt issuance costs on our Consolidated Balance Sheets. As of September 30, 2021 and December 31, 2020, the Company’s investment in allocable state tax credits was $0 and $1.5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Payable to Sellers</w:t>
      </w:r>
    </w:p>
    <w:p>
      <w:pPr>
        <w:spacing w:after="0" w:line="135"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8"/>
          <w:szCs w:val="18"/>
          <w:color w:val="auto"/>
        </w:rPr>
        <w:t>On October 5, 2017, the Company issued Secured Promissory Notes Payable (“2017 Seller Notes”) in the amount of $81.3 million to the owners of RCP 2 in connection with the acquisition of that entity. The 2017 Seller Notes mature on January 15, 2025. The 2017 Seller Notes are non-interest bearing and will be paid using cash generated from the business operations and borrowings under the Credit and Guaranty Facility (“Facility”) described below. The 2017 Seller Notes were recorded at their discounted fair value in the amount of $78.7 million. Non-cash interest expense was recorded on a periodic basis increasing the 2017 Seller Notes to their gross value. As of September 30, 2021 and December 31, 2020, the gross value of the 2017 Seller Notes was $6.4 million.</w:t>
      </w:r>
    </w:p>
    <w:p>
      <w:pPr>
        <w:spacing w:after="0" w:line="189" w:lineRule="exact"/>
        <w:rPr>
          <w:sz w:val="20"/>
          <w:szCs w:val="20"/>
          <w:color w:val="auto"/>
        </w:rPr>
      </w:pPr>
    </w:p>
    <w:p>
      <w:pPr>
        <w:jc w:val="both"/>
        <w:ind w:firstLine="509"/>
        <w:spacing w:after="0" w:line="332" w:lineRule="auto"/>
        <w:rPr>
          <w:sz w:val="20"/>
          <w:szCs w:val="20"/>
          <w:color w:val="auto"/>
        </w:rPr>
      </w:pPr>
      <w:r>
        <w:rPr>
          <w:rFonts w:ascii="Arial" w:cs="Arial" w:eastAsia="Arial" w:hAnsi="Arial"/>
          <w:sz w:val="16"/>
          <w:szCs w:val="16"/>
          <w:color w:val="auto"/>
        </w:rPr>
        <w:t>On January 3, 2018, the Company issued Secured Promissory Notes Payable (“2018 Seller Notes”) in the amount of $22.1 million to the owners of RCP 3 in connection with the acquisition of that entity. The 2018 Seller Notes mature on January 15, 2025. The 2018 Seller Notes are non-interest bearing and will be paid using cash generated from the business operations and borrowings under the Facility described below. The 2018 Seller Notes were recorded at their discounted fair value in the amount of $21.2 million. Noncash interest expense was recorded on a periodic basis increasing the 2018 Seller Notes to their gross value. As of September 30, 2021 and December 31, 2020, the gross value of the 2018 Seller Notes was $3.0 million.</w:t>
      </w:r>
    </w:p>
    <w:p>
      <w:pPr>
        <w:spacing w:after="0" w:line="158" w:lineRule="exact"/>
        <w:rPr>
          <w:sz w:val="20"/>
          <w:szCs w:val="20"/>
          <w:color w:val="auto"/>
        </w:rPr>
      </w:pPr>
    </w:p>
    <w:p>
      <w:pPr>
        <w:jc w:val="both"/>
        <w:ind w:firstLine="509"/>
        <w:spacing w:after="0" w:line="327" w:lineRule="auto"/>
        <w:rPr>
          <w:sz w:val="20"/>
          <w:szCs w:val="20"/>
          <w:color w:val="auto"/>
        </w:rPr>
      </w:pPr>
      <w:r>
        <w:rPr>
          <w:rFonts w:ascii="Arial" w:cs="Arial" w:eastAsia="Arial" w:hAnsi="Arial"/>
          <w:sz w:val="16"/>
          <w:szCs w:val="16"/>
          <w:color w:val="auto"/>
        </w:rPr>
        <w:t>On January 3, 2018, the Company issued tax amortization benefits in the amount of $48.4 million (“TAB Payments”) to the owners of RCP 3 in connection with the acquisition of that entity. The TAB Payments are non-interest bearing and will be paid in equal annual installments beginning April 15, 2023. The TAB Payments mature on April 15, 2037. The TAB Payments were recorded at their discounted fair value in the amount of $28.9 million. Non-cash interest expense is recorded on a periodic basis increasing the TAB Payments to their gross value. On April 1, 2020, the holders of the TAB Payments contributed $16.8 million of their TAB Payments to P10 Intermediate in exchange for receiving 3.3 million shares of Series C preferred stock. The discounted fair value of the TAB Payments received was $10.0 million on the date of the Five Points acquisition, April 1, 2020. See Note 16 for additional information. As of September 30, 2021 and December 31, 2020, the gross value of the 2018 TAB Payments was $31.7 million.</w:t>
      </w:r>
    </w:p>
    <w:p>
      <w:pPr>
        <w:spacing w:after="0" w:line="162"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8"/>
          <w:szCs w:val="18"/>
          <w:color w:val="auto"/>
        </w:rPr>
        <w:t>During the nine and three months ended September 30, 2021, we recorded $0.7 and $0.3 million and for the nine and three months ended September 30, 2020, we recorded $0.8 million and $0.2 million in interest expense related to the TAB Payments, respectively.</w:t>
      </w:r>
    </w:p>
    <w:p>
      <w:pPr>
        <w:spacing w:after="0" w:line="171"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8"/>
          <w:szCs w:val="18"/>
          <w:color w:val="auto"/>
        </w:rPr>
        <w:t>The 2017 Seller Notes, the 2018 Seller Notes and the TAB Payments are collectively referred to as “Notes payable to sellers” on our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and Guaranty Facility</w:t>
      </w:r>
    </w:p>
    <w:p>
      <w:pPr>
        <w:spacing w:after="0" w:line="148"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7"/>
          <w:szCs w:val="17"/>
          <w:color w:val="auto"/>
        </w:rPr>
        <w:t>The Company’s subsidiary, Holdco, entered into the Facility with HPS as administrative agent and collateral agent on October 7, 2017. The Facility initially provided for a $130.0 million senior secured credit facility in order to refinance the existing debt obligations of RCP Advisors and provide for the financing to repay the Seller Notes due resulting from the acquisition of RCP Advisors. The Facility provided for a $125 million five-year term, subject to certain EBITDA levels and conditions, and a $5 million one-year line of credit. The line of credit was repaid and subsequently expired during 2018. Holdco was permitted to draw up to $125 million in aggregate on the term loan in tranches through July 31, 2019.</w:t>
      </w:r>
    </w:p>
    <w:p>
      <w:pPr>
        <w:spacing w:after="0" w:line="17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On October 2, 2020 and December 14, 2020, in connection with the acquisitions of TrueBridge and Enhanced, the term loan under the Facility was amended adding an additional $91.4 million and $68.0 million to the Facility, respectively.</w:t>
      </w: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22" w:lineRule="exact"/>
        <w:rPr>
          <w:sz w:val="20"/>
          <w:szCs w:val="20"/>
          <w:color w:val="auto"/>
        </w:rPr>
      </w:pPr>
    </w:p>
    <w:p>
      <w:pPr>
        <w:jc w:val="both"/>
        <w:ind w:firstLine="509"/>
        <w:spacing w:after="0" w:line="308" w:lineRule="auto"/>
        <w:rPr>
          <w:sz w:val="20"/>
          <w:szCs w:val="20"/>
          <w:color w:val="auto"/>
        </w:rPr>
      </w:pPr>
      <w:r>
        <w:rPr>
          <w:rFonts w:ascii="Arial" w:cs="Arial" w:eastAsia="Arial" w:hAnsi="Arial"/>
          <w:sz w:val="18"/>
          <w:szCs w:val="18"/>
          <w:color w:val="auto"/>
        </w:rPr>
        <w:t>On September 30, 2021, in connection with the acquisition of Bonaccord, the term loan under the Facility was amended adding an additional $35.0 million to the Facility.</w:t>
      </w:r>
    </w:p>
    <w:p>
      <w:pPr>
        <w:spacing w:after="0" w:line="171"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8"/>
          <w:szCs w:val="18"/>
          <w:color w:val="auto"/>
        </w:rPr>
        <w:t>Interest is calculated upon each tranche at LIBOR for either one, two, three, or six months, as selected by Holdco, plus an applicable margin of 6.00% per annum. To date, Holdco has chosen three-month and six-month LIBOR at the time of each draw and each subsequent repricing at the end of the chosen LIBOR period. Principal is contractually repaid at a rate of 0.75% of the original tranche draw per calendar quarter. The maturity date of the Facility is October 7, 2022.</w:t>
      </w:r>
    </w:p>
    <w:p>
      <w:pPr>
        <w:spacing w:after="0" w:line="188" w:lineRule="exact"/>
        <w:rPr>
          <w:sz w:val="20"/>
          <w:szCs w:val="20"/>
          <w:color w:val="auto"/>
        </w:rPr>
      </w:pPr>
    </w:p>
    <w:p>
      <w:pPr>
        <w:jc w:val="both"/>
        <w:ind w:firstLine="509"/>
        <w:spacing w:after="0" w:line="295" w:lineRule="auto"/>
        <w:rPr>
          <w:sz w:val="20"/>
          <w:szCs w:val="20"/>
          <w:color w:val="auto"/>
        </w:rPr>
      </w:pPr>
      <w:r>
        <w:rPr>
          <w:rFonts w:ascii="Arial" w:cs="Arial" w:eastAsia="Arial" w:hAnsi="Arial"/>
          <w:sz w:val="18"/>
          <w:szCs w:val="18"/>
          <w:color w:val="auto"/>
        </w:rPr>
        <w:t>Due to the maturity of the Facility being within one year of issuance, the Company assessed its ability to pay its obligations. The Company believes it will be able to fulfill its obligations using cash on hand, cash from continuing operations, and a debt refinancing that the Company is currently negotiating.</w:t>
      </w:r>
    </w:p>
    <w:p>
      <w:pPr>
        <w:spacing w:after="0" w:line="182" w:lineRule="exact"/>
        <w:rPr>
          <w:sz w:val="20"/>
          <w:szCs w:val="20"/>
          <w:color w:val="auto"/>
        </w:rPr>
      </w:pPr>
    </w:p>
    <w:p>
      <w:pPr>
        <w:jc w:val="both"/>
        <w:ind w:firstLine="509"/>
        <w:spacing w:after="0" w:line="332" w:lineRule="auto"/>
        <w:rPr>
          <w:sz w:val="20"/>
          <w:szCs w:val="20"/>
          <w:color w:val="auto"/>
        </w:rPr>
      </w:pPr>
      <w:r>
        <w:rPr>
          <w:rFonts w:ascii="Arial" w:cs="Arial" w:eastAsia="Arial" w:hAnsi="Arial"/>
          <w:sz w:val="16"/>
          <w:szCs w:val="16"/>
          <w:color w:val="auto"/>
        </w:rPr>
        <w:t>The Facility contains affirmative and negative covenants typical of such financing transactions, and specific financial covenants which require Holdco to maintain a minimum leverage ratio, asset coverage ratio and a fixed charge ratio. The Facility also contains restrictions regarding the creation of indebtedness, the occurrence of mergers or consolidations, the payment of dividends and other restrictions. As of September 30, 2021, Holdco was in compliance with all the financial covenants required under the Facility. The outstanding balance of the Facility was $286.8 million and $261.7 million as of September 30, 2021 and December 31, 2020, respectively, and is reported net of unamortized debt issuance costs on our Consolidated Balance Sheets.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Phase-Out of LIBOR</w:t>
      </w:r>
    </w:p>
    <w:p>
      <w:pPr>
        <w:spacing w:after="0" w:line="135"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In July 2017, the UK's Financial Conduct Authority, which regulates LIBOR, announced that it intends to phase out LIBOR as a benchmark by the end of 2021. At the present time, our Facility has a term that extends beyond 2021. The Facility provides for a mechanism to amend the underlying agreements to reflect the establishment of an alternate rate of interest. However, we have not yet pursued any amendment or other contractual alternative to our Facility to address this matter. We are currently evaluating the potential impact of the eventual replacement of the LIBOR interest rate.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Payable</w:t>
      </w:r>
    </w:p>
    <w:p>
      <w:pPr>
        <w:spacing w:after="0" w:line="135"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360" w:type="dxa"/>
            <w:vAlign w:val="bottom"/>
            <w:gridSpan w:val="2"/>
          </w:tcPr>
          <w:p>
            <w:pPr>
              <w:spacing w:after="0"/>
              <w:rPr>
                <w:sz w:val="20"/>
                <w:szCs w:val="20"/>
                <w:color w:val="auto"/>
              </w:rPr>
            </w:pPr>
            <w:r>
              <w:rPr>
                <w:rFonts w:ascii="Arial" w:cs="Arial" w:eastAsia="Arial" w:hAnsi="Arial"/>
                <w:sz w:val="18"/>
                <w:szCs w:val="18"/>
                <w:color w:val="auto"/>
              </w:rPr>
              <w:t>Future principal maturities of debt as of September 30, 2021 are as follows: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9"/>
        </w:trPr>
        <w:tc>
          <w:tcPr>
            <w:tcW w:w="174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6"/>
        </w:trPr>
        <w:tc>
          <w:tcPr>
            <w:tcW w:w="1740" w:type="dxa"/>
            <w:vAlign w:val="bottom"/>
          </w:tcPr>
          <w:p>
            <w:pPr>
              <w:spacing w:after="0"/>
              <w:rPr>
                <w:sz w:val="22"/>
                <w:szCs w:val="22"/>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2,318</w:t>
            </w:r>
          </w:p>
        </w:tc>
        <w:tc>
          <w:tcPr>
            <w:tcW w:w="60" w:type="dxa"/>
            <w:vAlign w:val="bottom"/>
            <w:shd w:val="clear" w:color="auto" w:fill="CFF0FC"/>
          </w:tcPr>
          <w:p>
            <w:pPr>
              <w:spacing w:after="0"/>
              <w:rPr>
                <w:sz w:val="22"/>
                <w:szCs w:val="22"/>
                <w:color w:val="auto"/>
              </w:rPr>
            </w:pPr>
          </w:p>
        </w:tc>
      </w:tr>
      <w:tr>
        <w:trPr>
          <w:trHeight w:val="250"/>
        </w:trPr>
        <w:tc>
          <w:tcPr>
            <w:tcW w:w="7360" w:type="dxa"/>
            <w:vAlign w:val="bottom"/>
            <w:gridSpan w:val="2"/>
          </w:tcPr>
          <w:p>
            <w:pPr>
              <w:ind w:left="1740"/>
              <w:spacing w:after="0"/>
              <w:rPr>
                <w:sz w:val="20"/>
                <w:szCs w:val="20"/>
                <w:color w:val="auto"/>
              </w:rPr>
            </w:pPr>
            <w:r>
              <w:rPr>
                <w:rFonts w:ascii="Arial" w:cs="Arial" w:eastAsia="Arial" w:hAnsi="Arial"/>
                <w:sz w:val="18"/>
                <w:szCs w:val="18"/>
                <w:color w:val="auto"/>
              </w:rPr>
              <w:t>2022</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284,529</w:t>
            </w:r>
          </w:p>
        </w:tc>
        <w:tc>
          <w:tcPr>
            <w:tcW w:w="60" w:type="dxa"/>
            <w:vAlign w:val="bottom"/>
          </w:tcPr>
          <w:p>
            <w:pPr>
              <w:spacing w:after="0"/>
              <w:rPr>
                <w:sz w:val="21"/>
                <w:szCs w:val="21"/>
                <w:color w:val="auto"/>
              </w:rPr>
            </w:pPr>
          </w:p>
        </w:tc>
      </w:tr>
      <w:tr>
        <w:trPr>
          <w:trHeight w:val="263"/>
        </w:trPr>
        <w:tc>
          <w:tcPr>
            <w:tcW w:w="1740" w:type="dxa"/>
            <w:vAlign w:val="bottom"/>
          </w:tcPr>
          <w:p>
            <w:pPr>
              <w:spacing w:after="0"/>
              <w:rPr>
                <w:sz w:val="22"/>
                <w:szCs w:val="22"/>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80" w:type="dxa"/>
            <w:vAlign w:val="bottom"/>
            <w:shd w:val="clear" w:color="auto" w:fill="CFF0FC"/>
          </w:tcPr>
          <w:p>
            <w:pPr>
              <w:spacing w:after="0"/>
              <w:rPr>
                <w:sz w:val="22"/>
                <w:szCs w:val="22"/>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50"/>
        </w:trPr>
        <w:tc>
          <w:tcPr>
            <w:tcW w:w="7360" w:type="dxa"/>
            <w:vAlign w:val="bottom"/>
            <w:gridSpan w:val="2"/>
          </w:tcPr>
          <w:p>
            <w:pPr>
              <w:ind w:left="1740"/>
              <w:spacing w:after="0"/>
              <w:rPr>
                <w:sz w:val="20"/>
                <w:szCs w:val="20"/>
                <w:color w:val="auto"/>
              </w:rPr>
            </w:pPr>
            <w:r>
              <w:rPr>
                <w:rFonts w:ascii="Arial" w:cs="Arial" w:eastAsia="Arial" w:hAnsi="Arial"/>
                <w:sz w:val="18"/>
                <w:szCs w:val="18"/>
                <w:color w:val="auto"/>
              </w:rPr>
              <w:t>2024</w:t>
            </w: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2,111</w:t>
            </w:r>
          </w:p>
        </w:tc>
        <w:tc>
          <w:tcPr>
            <w:tcW w:w="60" w:type="dxa"/>
            <w:vAlign w:val="bottom"/>
          </w:tcPr>
          <w:p>
            <w:pPr>
              <w:spacing w:after="0"/>
              <w:rPr>
                <w:sz w:val="21"/>
                <w:szCs w:val="21"/>
                <w:color w:val="auto"/>
              </w:rPr>
            </w:pPr>
          </w:p>
        </w:tc>
      </w:tr>
      <w:tr>
        <w:trPr>
          <w:trHeight w:val="263"/>
        </w:trPr>
        <w:tc>
          <w:tcPr>
            <w:tcW w:w="1740" w:type="dxa"/>
            <w:vAlign w:val="bottom"/>
          </w:tcPr>
          <w:p>
            <w:pPr>
              <w:spacing w:after="0"/>
              <w:rPr>
                <w:sz w:val="22"/>
                <w:szCs w:val="22"/>
                <w:color w:val="auto"/>
              </w:rPr>
            </w:pPr>
          </w:p>
        </w:tc>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8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2,111</w:t>
            </w:r>
          </w:p>
        </w:tc>
        <w:tc>
          <w:tcPr>
            <w:tcW w:w="60" w:type="dxa"/>
            <w:vAlign w:val="bottom"/>
            <w:shd w:val="clear" w:color="auto" w:fill="CFF0FC"/>
          </w:tcPr>
          <w:p>
            <w:pPr>
              <w:spacing w:after="0"/>
              <w:rPr>
                <w:sz w:val="22"/>
                <w:szCs w:val="22"/>
                <w:color w:val="auto"/>
              </w:rPr>
            </w:pPr>
          </w:p>
        </w:tc>
      </w:tr>
      <w:tr>
        <w:trPr>
          <w:trHeight w:val="250"/>
        </w:trPr>
        <w:tc>
          <w:tcPr>
            <w:tcW w:w="1740" w:type="dxa"/>
            <w:vAlign w:val="bottom"/>
          </w:tcPr>
          <w:p>
            <w:pPr>
              <w:spacing w:after="0"/>
              <w:rPr>
                <w:sz w:val="21"/>
                <w:szCs w:val="21"/>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36,842</w:t>
            </w:r>
          </w:p>
        </w:tc>
        <w:tc>
          <w:tcPr>
            <w:tcW w:w="60" w:type="dxa"/>
            <w:vAlign w:val="bottom"/>
          </w:tcPr>
          <w:p>
            <w:pPr>
              <w:spacing w:after="0"/>
              <w:rPr>
                <w:sz w:val="21"/>
                <w:szCs w:val="21"/>
                <w:color w:val="auto"/>
              </w:rPr>
            </w:pPr>
          </w:p>
        </w:tc>
      </w:tr>
      <w:tr>
        <w:trPr>
          <w:trHeight w:val="290"/>
        </w:trPr>
        <w:tc>
          <w:tcPr>
            <w:tcW w:w="1740" w:type="dxa"/>
            <w:vAlign w:val="bottom"/>
          </w:tcPr>
          <w:p>
            <w:pPr>
              <w:spacing w:after="0"/>
              <w:rPr>
                <w:sz w:val="24"/>
                <w:szCs w:val="24"/>
                <w:color w:val="auto"/>
              </w:rPr>
            </w:pPr>
          </w:p>
        </w:tc>
        <w:tc>
          <w:tcPr>
            <w:tcW w:w="56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327,911</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431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3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Debt issuance costs are offset against the Revolving Credit Facility State Tax Credits and the Credit and Guaranty Facility. Unamortized debt issuance costs for the Credit and Guaranty Facility as of September 30, 2021 and December 31, 2020 were $3.8 million and $5.0 million, respectively. Unamortized debt issuance costs for the Revolving Credit Facility State Tax Credits as of September 30, 2021 and December 31, 2020 were $12 thousand and $25 thousand, respectively.</w:t>
      </w:r>
    </w:p>
    <w:p>
      <w:pPr>
        <w:spacing w:after="0" w:line="185" w:lineRule="exact"/>
        <w:rPr>
          <w:sz w:val="20"/>
          <w:szCs w:val="20"/>
          <w:color w:val="auto"/>
        </w:rPr>
      </w:pPr>
    </w:p>
    <w:p>
      <w:pPr>
        <w:jc w:val="both"/>
        <w:ind w:firstLine="509"/>
        <w:spacing w:after="0" w:line="282" w:lineRule="auto"/>
        <w:rPr>
          <w:sz w:val="20"/>
          <w:szCs w:val="20"/>
          <w:color w:val="auto"/>
        </w:rPr>
      </w:pPr>
      <w:r>
        <w:rPr>
          <w:rFonts w:ascii="Arial" w:cs="Arial" w:eastAsia="Arial" w:hAnsi="Arial"/>
          <w:sz w:val="17"/>
          <w:szCs w:val="17"/>
          <w:color w:val="auto"/>
        </w:rPr>
        <w:t>Amortization expense related to debt issuance costs totaled $2.1 and $0.7 million for the nine and three months ended September 30, 2021 and $0.5 and $0.1 million for the nine and three months ended September 30, 2020, respectively, and are included within interest expense, net on the accompanying Consolidated Statements of Operations. During the nine months ended September 30, 2021 and September 30, 2020, we recorded $0.9 million and $0.5 in debt issuance costs, respectively, which is included in debt obligations on the consolidated balance sheets.</w:t>
      </w: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Related Party Transactions</w:t>
      </w:r>
    </w:p>
    <w:p>
      <w:pPr>
        <w:spacing w:after="0" w:line="135"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Effective May 1, 2018, P10 started paying a monthly services fee of $31.7 thousand for administration and consulting services along with a monthly fee of $18.8 thousand for certain reimbursable expenses to 210/P10 Acquisition Partners, LLC, which owns approximately 24.9% of P10. These services were terminated effective December 31, 2020. P10 paid $0 and $0.5 million for administrative and consulting services and reimbursable expenses respectively for the nine months ended September 30, 2021 and September 30, 2020.</w:t>
      </w:r>
    </w:p>
    <w:p>
      <w:pPr>
        <w:spacing w:after="0" w:line="18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Effective January 1, 2021, the Company entered into a sublease with 210 Capital, LLC, a related party, for office space serving as our corporate headquarters. The monthly rent expense is $20.3 thousand, and the lease expires December 31, 2029. P10 has paid $0.2 million and $0 in rent to 210 Capital, LLC for the nine months ended September 30, 2021 and September 30, 2020, respectively.</w:t>
      </w:r>
    </w:p>
    <w:p>
      <w:pPr>
        <w:spacing w:after="0" w:line="183"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8"/>
          <w:szCs w:val="18"/>
          <w:color w:val="auto"/>
        </w:rPr>
        <w:t>On June 30, 2020, RCP 2 entered into an intercompany services agreement with Five Points whereby RCP 2 will provide certain accounting, human resources, back office, administrative functions and such other services to Five Points as mutually agreed upon from time to time. In consideration for the services provided, Five Points shall pay RCP 2 a quarterly fee in the amount of $850 thousand. As a result of the agreement, Five Points paid RCP 2 $2.6 million and $1.7 million for the nine months ended September 30, 2021 and September 30, 2020, respectively. These amounts were eliminated in consolidation.</w:t>
      </w:r>
    </w:p>
    <w:p>
      <w:pPr>
        <w:spacing w:after="0" w:line="189"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Effective April 1, 2020, P10 Intermediate pays a quarterly management fee of $250 thousand to Keystone Capital XXX, LLC, which is the holder of the Series B preferred shares issued by P10 Intermediate in connection with the acquisition of Five Points. As a result of that agreement, P10 Intermediate paid $0.8 million and $0.5 million for the nine months ended September 30, 2021 and September 30, 2020, respectively. See Note 16 below for additional information.</w:t>
      </w:r>
    </w:p>
    <w:p>
      <w:pPr>
        <w:spacing w:after="0" w:line="185"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As described in Note 1, through its subsidiaries, the Company serves as the investment manager to the Funds. Certain expenses incurred by the Funds are paid upfront and are reimbursed from the Funds as permissible per fund agreements. As of September 30, 2021, the total accounts receivable from the Funds totaled $1.7 million, of which $0.7 million related to reimbursable expenses and $1.0 million related to fees earned but not yet received. As of December 31, 2020, the total accounts receivable from the Funds totaled $2.6 million, of which $0.6 million related to reimbursable expenses and $2.0 million related to fees earned but not yet received. In certain instances, the Company may incur expenses related to specific products that never materialize.</w:t>
      </w:r>
    </w:p>
    <w:p>
      <w:pPr>
        <w:spacing w:after="0" w:line="160"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Upon the closing of the Company’s acquisition of ECG and ECP, the Advisory Agreement between ECG and Enhanced PC immediately became effective. Under this agreement, ECG will provide advisory services to Enhanced PC related to the assets and operations of the permanent capital subsidiaries owned by Enhanced PC, as contributed by both ECG and ECP. In exchange for those services, which commenced on January 1, 2021, ECG will receive advisory fees from Enhanced PC based on a declining fixed fee schedule totaling $76.0 million over 7 years. This agreement is subject to customary termination provisions. For the nine and three months ended September 30, 2021, advisory fees earned or recognized under this agreement were $14.3 and $4.8 million and were $0 and $0 million for the nine and three months ended September 30, 2020, respectively, and is reported in management and advisory fees on the Consolidated Statement of Operations.</w:t>
      </w:r>
    </w:p>
    <w:p>
      <w:pPr>
        <w:spacing w:after="0" w:line="181"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Upon the closing of the Company’s acquisition of ECG and ECP, the Administrative Services Agreement between ECG and Enhanced Capital Holdings, Inc. (“ECH”), the entity which holds a controlling equity interest in ECP, immediately became effective. Under this agreement, ECG will pay ECH for the use of their employees to provide services to Enhanced PC at the direction of ECG. The Company recognized $6.1 and $0.9 million for the nine and three months ended September 30, 2021 and $0 and $0 for the nine and three months ended September 30, 2020, respectively, related to this agreement within compensation and benefits on our Consolidated Statements of Operations.</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Upon the closing of Bonaccord on September 30, 2021, an Advance Agreement and Secured Promissory Note was signed with BCP, an entity that was formed by employees of the Company. For details, see Note 5.</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306"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The Company leases office space and various equipment under non-cancelable operating leases, with the longest lease expiring in 2027. These lease agreements provide for various renewal options. Rent expense for the various leased office space and equipment was approximately $1.6 and $0.5 million for the nine and three months ended September 30, 2021 and $0.9 and $0.3 million for the nine and three months ended September 30, 2020, respectively.</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information regarding the Company’s operating leases as of September 30, 2021:</w:t>
      </w:r>
    </w:p>
    <w:p>
      <w:pPr>
        <w:spacing w:after="0" w:line="253" w:lineRule="exact"/>
        <w:rPr>
          <w:sz w:val="20"/>
          <w:szCs w:val="20"/>
          <w:color w:val="auto"/>
        </w:rPr>
      </w:pPr>
    </w:p>
    <w:tbl>
      <w:tblPr>
        <w:tblLayout w:type="fixed"/>
        <w:tblInd w:w="520" w:type="dxa"/>
        <w:tblCellMar>
          <w:top w:w="0" w:type="dxa"/>
          <w:left w:w="0" w:type="dxa"/>
          <w:bottom w:w="0" w:type="dxa"/>
          <w:right w:w="0" w:type="dxa"/>
        </w:tblCellMar>
      </w:tblPr>
      <w:tr>
        <w:trPr>
          <w:trHeight w:val="257"/>
        </w:trPr>
        <w:tc>
          <w:tcPr>
            <w:tcW w:w="1740" w:type="dxa"/>
            <w:vAlign w:val="bottom"/>
          </w:tcPr>
          <w:p>
            <w:pPr>
              <w:spacing w:after="0"/>
              <w:rPr>
                <w:sz w:val="22"/>
                <w:szCs w:val="22"/>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7,095</w:t>
            </w:r>
          </w:p>
        </w:tc>
        <w:tc>
          <w:tcPr>
            <w:tcW w:w="100" w:type="dxa"/>
            <w:vAlign w:val="bottom"/>
            <w:shd w:val="clear" w:color="auto" w:fill="CFF0FC"/>
          </w:tcPr>
          <w:p>
            <w:pPr>
              <w:spacing w:after="0"/>
              <w:rPr>
                <w:sz w:val="22"/>
                <w:szCs w:val="22"/>
                <w:color w:val="auto"/>
              </w:rPr>
            </w:pPr>
          </w:p>
        </w:tc>
      </w:tr>
      <w:tr>
        <w:trPr>
          <w:trHeight w:val="250"/>
        </w:trPr>
        <w:tc>
          <w:tcPr>
            <w:tcW w:w="174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8,126</w:t>
            </w:r>
          </w:p>
        </w:tc>
        <w:tc>
          <w:tcPr>
            <w:tcW w:w="100" w:type="dxa"/>
            <w:vAlign w:val="bottom"/>
          </w:tcPr>
          <w:p>
            <w:pPr>
              <w:spacing w:after="0"/>
              <w:rPr>
                <w:sz w:val="21"/>
                <w:szCs w:val="21"/>
                <w:color w:val="auto"/>
              </w:rPr>
            </w:pPr>
          </w:p>
        </w:tc>
      </w:tr>
      <w:tr>
        <w:trPr>
          <w:trHeight w:val="263"/>
        </w:trPr>
        <w:tc>
          <w:tcPr>
            <w:tcW w:w="1740" w:type="dxa"/>
            <w:vAlign w:val="bottom"/>
          </w:tcPr>
          <w:p>
            <w:pPr>
              <w:spacing w:after="0"/>
              <w:rPr>
                <w:sz w:val="22"/>
                <w:szCs w:val="22"/>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Cash paid for lease liabilities</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1,719</w:t>
            </w:r>
          </w:p>
        </w:tc>
        <w:tc>
          <w:tcPr>
            <w:tcW w:w="100" w:type="dxa"/>
            <w:vAlign w:val="bottom"/>
            <w:shd w:val="clear" w:color="auto" w:fill="CFF0FC"/>
          </w:tcPr>
          <w:p>
            <w:pPr>
              <w:spacing w:after="0"/>
              <w:rPr>
                <w:sz w:val="22"/>
                <w:szCs w:val="22"/>
                <w:color w:val="auto"/>
              </w:rPr>
            </w:pPr>
          </w:p>
        </w:tc>
      </w:tr>
      <w:tr>
        <w:trPr>
          <w:trHeight w:val="250"/>
        </w:trPr>
        <w:tc>
          <w:tcPr>
            <w:tcW w:w="174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Weighted-average remaining lease term (in years)</w:t>
            </w:r>
          </w:p>
        </w:tc>
        <w:tc>
          <w:tcPr>
            <w:tcW w:w="40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r>
      <w:tr>
        <w:trPr>
          <w:trHeight w:val="263"/>
        </w:trPr>
        <w:tc>
          <w:tcPr>
            <w:tcW w:w="1740" w:type="dxa"/>
            <w:vAlign w:val="bottom"/>
          </w:tcPr>
          <w:p>
            <w:pPr>
              <w:spacing w:after="0"/>
              <w:rPr>
                <w:sz w:val="22"/>
                <w:szCs w:val="22"/>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w:t>
            </w:r>
          </w:p>
        </w:tc>
        <w:tc>
          <w:tcPr>
            <w:tcW w:w="400" w:type="dxa"/>
            <w:vAlign w:val="bottom"/>
            <w:shd w:val="clear" w:color="auto" w:fill="CFF0FC"/>
          </w:tcPr>
          <w:p>
            <w:pPr>
              <w:spacing w:after="0"/>
              <w:rPr>
                <w:sz w:val="22"/>
                <w:szCs w:val="22"/>
                <w:color w:val="auto"/>
              </w:rPr>
            </w:pPr>
          </w:p>
        </w:tc>
        <w:tc>
          <w:tcPr>
            <w:tcW w:w="8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5.13 %</w:t>
            </w:r>
          </w:p>
        </w:tc>
      </w:tr>
      <w:tr>
        <w:trPr>
          <w:trHeight w:val="459"/>
        </w:trPr>
        <w:tc>
          <w:tcPr>
            <w:tcW w:w="7200" w:type="dxa"/>
            <w:vAlign w:val="bottom"/>
            <w:gridSpan w:val="2"/>
          </w:tcPr>
          <w:p>
            <w:pPr>
              <w:spacing w:after="0"/>
              <w:rPr>
                <w:sz w:val="20"/>
                <w:szCs w:val="20"/>
                <w:color w:val="auto"/>
              </w:rPr>
            </w:pPr>
            <w:r>
              <w:rPr>
                <w:rFonts w:ascii="Arial" w:cs="Arial" w:eastAsia="Arial" w:hAnsi="Arial"/>
                <w:sz w:val="18"/>
                <w:szCs w:val="18"/>
                <w:color w:val="auto"/>
              </w:rPr>
              <w:t>The future contractual lease payments as of September 30, 2021 are as follows:</w:t>
            </w: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174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1740" w:type="dxa"/>
            <w:vAlign w:val="bottom"/>
          </w:tcPr>
          <w:p>
            <w:pPr>
              <w:spacing w:after="0"/>
              <w:rPr>
                <w:sz w:val="22"/>
                <w:szCs w:val="22"/>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Remainder of 2021</w:t>
            </w: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100" w:type="dxa"/>
            <w:vAlign w:val="bottom"/>
            <w:shd w:val="clear" w:color="auto" w:fill="CFF0FC"/>
          </w:tcPr>
          <w:p>
            <w:pPr>
              <w:spacing w:after="0"/>
              <w:rPr>
                <w:sz w:val="22"/>
                <w:szCs w:val="22"/>
                <w:color w:val="auto"/>
              </w:rPr>
            </w:pPr>
          </w:p>
        </w:tc>
      </w:tr>
      <w:tr>
        <w:trPr>
          <w:trHeight w:val="250"/>
        </w:trPr>
        <w:tc>
          <w:tcPr>
            <w:tcW w:w="7200" w:type="dxa"/>
            <w:vAlign w:val="bottom"/>
            <w:gridSpan w:val="2"/>
          </w:tcPr>
          <w:p>
            <w:pPr>
              <w:ind w:left="1740"/>
              <w:spacing w:after="0"/>
              <w:rPr>
                <w:sz w:val="20"/>
                <w:szCs w:val="20"/>
                <w:color w:val="auto"/>
              </w:rPr>
            </w:pPr>
            <w:r>
              <w:rPr>
                <w:rFonts w:ascii="Arial" w:cs="Arial" w:eastAsia="Arial" w:hAnsi="Arial"/>
                <w:sz w:val="18"/>
                <w:szCs w:val="18"/>
                <w:color w:val="auto"/>
              </w:rPr>
              <w:t>2022</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2,184</w:t>
            </w:r>
          </w:p>
        </w:tc>
        <w:tc>
          <w:tcPr>
            <w:tcW w:w="100" w:type="dxa"/>
            <w:vAlign w:val="bottom"/>
          </w:tcPr>
          <w:p>
            <w:pPr>
              <w:spacing w:after="0"/>
              <w:rPr>
                <w:sz w:val="21"/>
                <w:szCs w:val="21"/>
                <w:color w:val="auto"/>
              </w:rPr>
            </w:pPr>
          </w:p>
        </w:tc>
      </w:tr>
      <w:tr>
        <w:trPr>
          <w:trHeight w:val="263"/>
        </w:trPr>
        <w:tc>
          <w:tcPr>
            <w:tcW w:w="1740" w:type="dxa"/>
            <w:vAlign w:val="bottom"/>
          </w:tcPr>
          <w:p>
            <w:pPr>
              <w:spacing w:after="0"/>
              <w:rPr>
                <w:sz w:val="22"/>
                <w:szCs w:val="22"/>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40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2,180</w:t>
            </w:r>
          </w:p>
        </w:tc>
        <w:tc>
          <w:tcPr>
            <w:tcW w:w="100" w:type="dxa"/>
            <w:vAlign w:val="bottom"/>
            <w:shd w:val="clear" w:color="auto" w:fill="CFF0FC"/>
          </w:tcPr>
          <w:p>
            <w:pPr>
              <w:spacing w:after="0"/>
              <w:rPr>
                <w:sz w:val="22"/>
                <w:szCs w:val="22"/>
                <w:color w:val="auto"/>
              </w:rPr>
            </w:pPr>
          </w:p>
        </w:tc>
      </w:tr>
      <w:tr>
        <w:trPr>
          <w:trHeight w:val="250"/>
        </w:trPr>
        <w:tc>
          <w:tcPr>
            <w:tcW w:w="7200" w:type="dxa"/>
            <w:vAlign w:val="bottom"/>
            <w:gridSpan w:val="2"/>
          </w:tcPr>
          <w:p>
            <w:pPr>
              <w:ind w:left="1740"/>
              <w:spacing w:after="0"/>
              <w:rPr>
                <w:sz w:val="20"/>
                <w:szCs w:val="20"/>
                <w:color w:val="auto"/>
              </w:rPr>
            </w:pPr>
            <w:r>
              <w:rPr>
                <w:rFonts w:ascii="Arial" w:cs="Arial" w:eastAsia="Arial" w:hAnsi="Arial"/>
                <w:sz w:val="18"/>
                <w:szCs w:val="18"/>
                <w:color w:val="auto"/>
              </w:rPr>
              <w:t>2024</w:t>
            </w:r>
          </w:p>
        </w:tc>
        <w:tc>
          <w:tcPr>
            <w:tcW w:w="4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1"/>
                <w:szCs w:val="21"/>
                <w:color w:val="auto"/>
              </w:rPr>
            </w:pPr>
          </w:p>
        </w:tc>
      </w:tr>
      <w:tr>
        <w:trPr>
          <w:trHeight w:val="263"/>
        </w:trPr>
        <w:tc>
          <w:tcPr>
            <w:tcW w:w="1740" w:type="dxa"/>
            <w:vAlign w:val="bottom"/>
          </w:tcPr>
          <w:p>
            <w:pPr>
              <w:spacing w:after="0"/>
              <w:rPr>
                <w:sz w:val="22"/>
                <w:szCs w:val="22"/>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40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100" w:type="dxa"/>
            <w:vAlign w:val="bottom"/>
            <w:shd w:val="clear" w:color="auto" w:fill="CFF0FC"/>
          </w:tcPr>
          <w:p>
            <w:pPr>
              <w:spacing w:after="0"/>
              <w:rPr>
                <w:sz w:val="22"/>
                <w:szCs w:val="22"/>
                <w:color w:val="auto"/>
              </w:rPr>
            </w:pPr>
          </w:p>
        </w:tc>
      </w:tr>
      <w:tr>
        <w:trPr>
          <w:trHeight w:val="250"/>
        </w:trPr>
        <w:tc>
          <w:tcPr>
            <w:tcW w:w="174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1"/>
                <w:szCs w:val="21"/>
                <w:color w:val="auto"/>
              </w:rPr>
            </w:pPr>
          </w:p>
        </w:tc>
      </w:tr>
      <w:tr>
        <w:trPr>
          <w:trHeight w:val="257"/>
        </w:trPr>
        <w:tc>
          <w:tcPr>
            <w:tcW w:w="1740" w:type="dxa"/>
            <w:vAlign w:val="bottom"/>
          </w:tcPr>
          <w:p>
            <w:pPr>
              <w:spacing w:after="0"/>
              <w:rPr>
                <w:sz w:val="22"/>
                <w:szCs w:val="22"/>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40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9,065</w:t>
            </w:r>
          </w:p>
        </w:tc>
        <w:tc>
          <w:tcPr>
            <w:tcW w:w="100" w:type="dxa"/>
            <w:vAlign w:val="bottom"/>
            <w:shd w:val="clear" w:color="auto" w:fill="CFF0FC"/>
          </w:tcPr>
          <w:p>
            <w:pPr>
              <w:spacing w:after="0"/>
              <w:rPr>
                <w:sz w:val="22"/>
                <w:szCs w:val="22"/>
                <w:color w:val="auto"/>
              </w:rPr>
            </w:pPr>
          </w:p>
        </w:tc>
      </w:tr>
      <w:tr>
        <w:trPr>
          <w:trHeight w:val="250"/>
        </w:trPr>
        <w:tc>
          <w:tcPr>
            <w:tcW w:w="1740" w:type="dxa"/>
            <w:vAlign w:val="bottom"/>
          </w:tcPr>
          <w:p>
            <w:pPr>
              <w:spacing w:after="0"/>
              <w:rPr>
                <w:sz w:val="21"/>
                <w:szCs w:val="21"/>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Less discount</w:t>
            </w:r>
          </w:p>
        </w:tc>
        <w:tc>
          <w:tcPr>
            <w:tcW w:w="40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(939 )</w:t>
            </w:r>
          </w:p>
        </w:tc>
      </w:tr>
      <w:tr>
        <w:trPr>
          <w:trHeight w:val="290"/>
        </w:trPr>
        <w:tc>
          <w:tcPr>
            <w:tcW w:w="1740" w:type="dxa"/>
            <w:vAlign w:val="bottom"/>
          </w:tcPr>
          <w:p>
            <w:pPr>
              <w:spacing w:after="0"/>
              <w:rPr>
                <w:sz w:val="24"/>
                <w:szCs w:val="24"/>
                <w:color w:val="auto"/>
              </w:rPr>
            </w:pPr>
          </w:p>
        </w:tc>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8,126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03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0325"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62"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do not believe that any of these matters, individually or in the aggregate, will result in losses that are materially in excess of amounts already recognized, if any.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62"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In March 2020, the World Health Organization declared the outbreak of a novel coronavirus (COVID-19) a global pandemic, which has resulted in significant disruption and uncertainty in the global economic markets. The extent of the operational and financial impact the COVID-19 pandemic may have on the Company has yet to be determined and is dependent on its duration and spread, any related operational restrictions and the overall economy. Currently, we have activated our Business Continuity Plan, which assures the ability for all aspects of our business to continue operating without interruption. COVID-19 has not negatively impacted our business in a material way and our business continuity plan is operating as planned with limited interruptions. We are closely monitoring developments related to COVID-19 and assessing any negative impacts to our business. It is possible that our future results may be adversely affected by slowdowns in fundraising activity and the pace of capital deployment, which could result in delayed or decreased management fees.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189"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The Company calculates its tax provision using the estimated annual effective tax rate methodology. The tax expense or benefit caused by an unusual or infrequent item is recorded in the quarter in which it occurs. To the extent that information is not available for the Company to fully determine the full year estimated impact of an item of income or tax adjustment, the Company calculates the tax impact of such item discretely.</w:t>
      </w:r>
    </w:p>
    <w:p>
      <w:pPr>
        <w:spacing w:after="0" w:line="164"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Based on these methodologies, the Company’s effective income tax rate for the nine months ended September 30, 2021 was 25.41%. The effective tax rate differs from the statutory rate of 21% primarily due to the release of valuation allowance, expiration of NOL, a partnership non-controlling interest, nonconsolidated subsidiaries, and state taxes.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22"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in management's view, is more likely than not to be realized in the foreseeable future. This level will be estimated based on a number of factors, especially the amount of net deferred tax assets of the Company that are actually expected to be realized, for tax purposes, in the foreseeable future. As of September 30, 2021, the Company recorded a $12.9 million valuation allowance against deferred tax assets mostly related to partnership outside basis difference and note impairment.</w:t>
      </w:r>
    </w:p>
    <w:p>
      <w:pPr>
        <w:spacing w:after="0" w:line="17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Company is subject to examination by the United States Internal Revenue Service as well as state, local and tax authorities. The Company is not currently under audit.</w:t>
      </w:r>
    </w:p>
    <w:p>
      <w:pPr>
        <w:spacing w:after="0" w:line="170"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In December 2019, the FASB issued ASU No. 2019-12 Income Taxes (Topic 740) - Disclosure Framework - Simplifying the Accounting for Income Taxes, which simplified the accounting for income taxes by removing certain exceptions to the general principles of Topic 740 and clarifying and amending existing guidance. We adopted this new standard as of September 30, 2021. The adoption of this standard did not have a material impact on our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Stockholders' Equity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135"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On July 20, 2021, the Board of Directors approved the P10 Holdings, Inc. 2021 Stock Incentive Plan (the "Plan"), which replaced the 2018 Incentive Plan, our previously existing equity compensation plan. The Plan provides for the issuance of 1,000,000 shares available for grant, in addition to those approved in the 2018 Incentive Plan ("2018 Plan"), for a total of 10,000,000 shares. Per the Plan, the Compensation Committee of the Board of Directors may issue equity-based awards including stock appreciation rights, restricted stock units and restricted stock awards. Options previously granted under the 2018 Incentive Plan vest over a period of up to four years and five years, respectively. The term of each option is no more than ten years from the date of grant. When the options are exercised, the Board of Directors has the option of issuing shares of common stock or paying a lump sum cash payment on the exercise date equal to the difference between the common stock’s fair market value on the exercise date and the option price. All future awards will be granted under the Plan, and no additional awards will be granted under the 2018 Plan.</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for the nine months ended September 30, 2021 is as follows:</w:t>
      </w:r>
    </w:p>
    <w:p>
      <w:pPr>
        <w:spacing w:after="0" w:line="257"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32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3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7"/>
              </w:rPr>
              <w:t>Contractual Life</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379"/>
              <w:spacing w:after="0"/>
              <w:rPr>
                <w:sz w:val="20"/>
                <w:szCs w:val="20"/>
                <w:color w:val="auto"/>
              </w:rPr>
            </w:pPr>
            <w:r>
              <w:rPr>
                <w:rFonts w:ascii="Arial" w:cs="Arial" w:eastAsia="Arial" w:hAnsi="Arial"/>
                <w:sz w:val="14"/>
                <w:szCs w:val="14"/>
                <w:b w:val="1"/>
                <w:bCs w:val="1"/>
                <w:color w:val="auto"/>
              </w:rPr>
              <w:t>Aggregate</w:t>
            </w:r>
          </w:p>
        </w:tc>
        <w:tc>
          <w:tcPr>
            <w:tcW w:w="80" w:type="dxa"/>
            <w:vAlign w:val="bottom"/>
          </w:tcPr>
          <w:p>
            <w:pPr>
              <w:spacing w:after="0"/>
              <w:rPr>
                <w:sz w:val="17"/>
                <w:szCs w:val="17"/>
                <w:color w:val="auto"/>
              </w:rPr>
            </w:pPr>
          </w:p>
        </w:tc>
      </w:tr>
      <w:tr>
        <w:trPr>
          <w:trHeight w:val="203"/>
        </w:trPr>
        <w:tc>
          <w:tcPr>
            <w:tcW w:w="3220" w:type="dxa"/>
            <w:vAlign w:val="bottom"/>
          </w:tcPr>
          <w:p>
            <w:pPr>
              <w:spacing w:after="0"/>
              <w:rPr>
                <w:sz w:val="17"/>
                <w:szCs w:val="17"/>
                <w:color w:val="auto"/>
              </w:rPr>
            </w:pPr>
          </w:p>
        </w:tc>
        <w:tc>
          <w:tcPr>
            <w:tcW w:w="17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7"/>
                <w:szCs w:val="17"/>
                <w:color w:val="auto"/>
              </w:rPr>
            </w:pPr>
          </w:p>
        </w:tc>
        <w:tc>
          <w:tcPr>
            <w:tcW w:w="1360" w:type="dxa"/>
            <w:vAlign w:val="bottom"/>
          </w:tcPr>
          <w:p>
            <w:pPr>
              <w:jc w:val="right"/>
              <w:ind w:right="115"/>
              <w:spacing w:after="0"/>
              <w:rPr>
                <w:sz w:val="20"/>
                <w:szCs w:val="20"/>
                <w:color w:val="auto"/>
              </w:rPr>
            </w:pPr>
            <w:r>
              <w:rPr>
                <w:rFonts w:ascii="Arial" w:cs="Arial" w:eastAsia="Arial" w:hAnsi="Arial"/>
                <w:sz w:val="14"/>
                <w:szCs w:val="14"/>
                <w:b w:val="1"/>
                <w:bCs w:val="1"/>
                <w:color w:val="auto"/>
                <w:w w:val="93"/>
              </w:rPr>
              <w:t>Weighted Average</w:t>
            </w:r>
          </w:p>
        </w:tc>
        <w:tc>
          <w:tcPr>
            <w:tcW w:w="260" w:type="dxa"/>
            <w:vAlign w:val="bottom"/>
          </w:tcPr>
          <w:p>
            <w:pPr>
              <w:spacing w:after="0"/>
              <w:rPr>
                <w:sz w:val="17"/>
                <w:szCs w:val="17"/>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ind w:right="219"/>
              <w:spacing w:after="0"/>
              <w:rPr>
                <w:sz w:val="20"/>
                <w:szCs w:val="20"/>
                <w:color w:val="auto"/>
              </w:rPr>
            </w:pPr>
            <w:r>
              <w:rPr>
                <w:rFonts w:ascii="Arial" w:cs="Arial" w:eastAsia="Arial" w:hAnsi="Arial"/>
                <w:sz w:val="14"/>
                <w:szCs w:val="14"/>
                <w:b w:val="1"/>
                <w:bCs w:val="1"/>
                <w:color w:val="auto"/>
              </w:rPr>
              <w:t>Intrinsic Value</w:t>
            </w:r>
          </w:p>
        </w:tc>
        <w:tc>
          <w:tcPr>
            <w:tcW w:w="80" w:type="dxa"/>
            <w:vAlign w:val="bottom"/>
          </w:tcPr>
          <w:p>
            <w:pPr>
              <w:spacing w:after="0"/>
              <w:rPr>
                <w:sz w:val="17"/>
                <w:szCs w:val="17"/>
                <w:color w:val="auto"/>
              </w:rPr>
            </w:pPr>
          </w:p>
        </w:tc>
      </w:tr>
      <w:tr>
        <w:trPr>
          <w:trHeight w:val="208"/>
        </w:trPr>
        <w:tc>
          <w:tcPr>
            <w:tcW w:w="3220" w:type="dxa"/>
            <w:vAlign w:val="bottom"/>
          </w:tcPr>
          <w:p>
            <w:pPr>
              <w:spacing w:after="0"/>
              <w:rPr>
                <w:sz w:val="18"/>
                <w:szCs w:val="18"/>
                <w:color w:val="auto"/>
              </w:rPr>
            </w:pPr>
          </w:p>
        </w:tc>
        <w:tc>
          <w:tcPr>
            <w:tcW w:w="15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Exercise Price</w:t>
            </w:r>
          </w:p>
        </w:tc>
        <w:tc>
          <w:tcPr>
            <w:tcW w:w="26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9"/>
              </w:rPr>
              <w:t>(whole dollars)</w:t>
            </w:r>
          </w:p>
        </w:tc>
        <w:tc>
          <w:tcPr>
            <w:tcW w:w="80" w:type="dxa"/>
            <w:vAlign w:val="bottom"/>
          </w:tcPr>
          <w:p>
            <w:pPr>
              <w:spacing w:after="0"/>
              <w:rPr>
                <w:sz w:val="18"/>
                <w:szCs w:val="18"/>
                <w:color w:val="auto"/>
              </w:rPr>
            </w:pPr>
          </w:p>
        </w:tc>
      </w:tr>
      <w:tr>
        <w:trPr>
          <w:trHeight w:val="283"/>
        </w:trPr>
        <w:tc>
          <w:tcPr>
            <w:tcW w:w="322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5,350,800</w:t>
            </w:r>
          </w:p>
        </w:tc>
        <w:tc>
          <w:tcPr>
            <w:tcW w:w="280" w:type="dxa"/>
            <w:vAlign w:val="bottom"/>
            <w:shd w:val="clear" w:color="auto" w:fill="CFF0FC"/>
          </w:tcPr>
          <w:p>
            <w:pPr>
              <w:spacing w:after="0"/>
              <w:rPr>
                <w:sz w:val="24"/>
                <w:szCs w:val="2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41,442,250</w:t>
            </w:r>
          </w:p>
        </w:tc>
        <w:tc>
          <w:tcPr>
            <w:tcW w:w="80" w:type="dxa"/>
            <w:vAlign w:val="bottom"/>
            <w:shd w:val="clear" w:color="auto" w:fill="CFF0FC"/>
          </w:tcPr>
          <w:p>
            <w:pPr>
              <w:spacing w:after="0"/>
              <w:rPr>
                <w:sz w:val="24"/>
                <w:szCs w:val="24"/>
                <w:color w:val="auto"/>
              </w:rPr>
            </w:pPr>
          </w:p>
        </w:tc>
      </w:tr>
      <w:tr>
        <w:trPr>
          <w:trHeight w:val="277"/>
        </w:trPr>
        <w:tc>
          <w:tcPr>
            <w:tcW w:w="32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00" w:type="dxa"/>
            <w:vAlign w:val="bottom"/>
          </w:tcPr>
          <w:p>
            <w:pPr>
              <w:jc w:val="right"/>
              <w:spacing w:after="0"/>
              <w:rPr>
                <w:sz w:val="20"/>
                <w:szCs w:val="20"/>
                <w:color w:val="auto"/>
              </w:rPr>
            </w:pPr>
            <w:r>
              <w:rPr>
                <w:rFonts w:ascii="Arial" w:cs="Arial" w:eastAsia="Arial" w:hAnsi="Arial"/>
                <w:sz w:val="18"/>
                <w:szCs w:val="18"/>
                <w:color w:val="auto"/>
              </w:rPr>
              <w:t>2,101,750</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8.11</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90"/>
        </w:trPr>
        <w:tc>
          <w:tcPr>
            <w:tcW w:w="3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w:t>
            </w:r>
          </w:p>
        </w:tc>
        <w:tc>
          <w:tcPr>
            <w:tcW w:w="17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4"/>
                <w:szCs w:val="24"/>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4"/>
                <w:szCs w:val="24"/>
                <w:color w:val="auto"/>
              </w:rPr>
            </w:pPr>
          </w:p>
        </w:tc>
        <w:tc>
          <w:tcPr>
            <w:tcW w:w="150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30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r>
      <w:tr>
        <w:trPr>
          <w:trHeight w:val="283"/>
        </w:trPr>
        <w:tc>
          <w:tcPr>
            <w:tcW w:w="3220" w:type="dxa"/>
            <w:vAlign w:val="bottom"/>
          </w:tcPr>
          <w:p>
            <w:pPr>
              <w:ind w:left="180"/>
              <w:spacing w:after="0"/>
              <w:rPr>
                <w:sz w:val="20"/>
                <w:szCs w:val="20"/>
                <w:color w:val="auto"/>
              </w:rPr>
            </w:pPr>
            <w:r>
              <w:rPr>
                <w:rFonts w:ascii="Arial" w:cs="Arial" w:eastAsia="Arial" w:hAnsi="Arial"/>
                <w:sz w:val="18"/>
                <w:szCs w:val="18"/>
                <w:color w:val="auto"/>
              </w:rPr>
              <w:t>Expired/Forfeited</w:t>
            </w:r>
          </w:p>
        </w:tc>
        <w:tc>
          <w:tcPr>
            <w:tcW w:w="1780" w:type="dxa"/>
            <w:vAlign w:val="bottom"/>
            <w:gridSpan w:val="2"/>
          </w:tcPr>
          <w:p>
            <w:pPr>
              <w:jc w:val="right"/>
              <w:ind w:right="200"/>
              <w:spacing w:after="0"/>
              <w:rPr>
                <w:sz w:val="20"/>
                <w:szCs w:val="20"/>
                <w:color w:val="auto"/>
              </w:rPr>
            </w:pPr>
            <w:r>
              <w:rPr>
                <w:rFonts w:ascii="Arial" w:cs="Arial" w:eastAsia="Arial" w:hAnsi="Arial"/>
                <w:sz w:val="18"/>
                <w:szCs w:val="18"/>
                <w:color w:val="auto"/>
              </w:rPr>
              <w:t>(320,600 )</w:t>
            </w:r>
          </w:p>
        </w:tc>
        <w:tc>
          <w:tcPr>
            <w:tcW w:w="16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3.27</w:t>
            </w: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7"/>
        </w:trPr>
        <w:tc>
          <w:tcPr>
            <w:tcW w:w="3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September 30, 2021</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7,131,950</w:t>
            </w:r>
          </w:p>
        </w:tc>
        <w:tc>
          <w:tcPr>
            <w:tcW w:w="2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w:t>
            </w:r>
          </w:p>
        </w:tc>
        <w:tc>
          <w:tcPr>
            <w:tcW w:w="26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7.67</w:t>
            </w:r>
          </w:p>
        </w:tc>
        <w:tc>
          <w:tcPr>
            <w:tcW w:w="24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87,034,525</w:t>
            </w:r>
          </w:p>
        </w:tc>
        <w:tc>
          <w:tcPr>
            <w:tcW w:w="80" w:type="dxa"/>
            <w:vAlign w:val="bottom"/>
            <w:tcBorders>
              <w:bottom w:val="single" w:sz="8" w:color="CFF0FC"/>
            </w:tcBorders>
            <w:shd w:val="clear" w:color="auto" w:fill="CFF0FC"/>
          </w:tcPr>
          <w:p>
            <w:pPr>
              <w:spacing w:after="0"/>
              <w:rPr>
                <w:sz w:val="24"/>
                <w:szCs w:val="24"/>
                <w:color w:val="auto"/>
              </w:rPr>
            </w:pPr>
          </w:p>
        </w:tc>
      </w:tr>
      <w:tr>
        <w:trPr>
          <w:trHeight w:val="264"/>
        </w:trPr>
        <w:tc>
          <w:tcPr>
            <w:tcW w:w="3220" w:type="dxa"/>
            <w:vAlign w:val="bottom"/>
          </w:tcPr>
          <w:p>
            <w:pPr>
              <w:spacing w:after="0"/>
              <w:rPr>
                <w:sz w:val="20"/>
                <w:szCs w:val="20"/>
                <w:color w:val="auto"/>
              </w:rPr>
            </w:pPr>
            <w:r>
              <w:rPr>
                <w:rFonts w:ascii="Arial" w:cs="Arial" w:eastAsia="Arial" w:hAnsi="Arial"/>
                <w:sz w:val="18"/>
                <w:szCs w:val="18"/>
                <w:color w:val="auto"/>
              </w:rPr>
              <w:t>Exercisable as of September 30, 2021</w:t>
            </w:r>
          </w:p>
        </w:tc>
        <w:tc>
          <w:tcPr>
            <w:tcW w:w="1500" w:type="dxa"/>
            <w:vAlign w:val="bottom"/>
          </w:tcPr>
          <w:p>
            <w:pPr>
              <w:jc w:val="right"/>
              <w:spacing w:after="0"/>
              <w:rPr>
                <w:sz w:val="20"/>
                <w:szCs w:val="20"/>
                <w:color w:val="auto"/>
              </w:rPr>
            </w:pPr>
            <w:r>
              <w:rPr>
                <w:rFonts w:ascii="Arial" w:cs="Arial" w:eastAsia="Arial" w:hAnsi="Arial"/>
                <w:sz w:val="18"/>
                <w:szCs w:val="18"/>
                <w:color w:val="auto"/>
              </w:rPr>
              <w:t>1,178,800</w:t>
            </w:r>
          </w:p>
        </w:tc>
        <w:tc>
          <w:tcPr>
            <w:tcW w:w="2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0.60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5.49</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17,747,150</w:t>
            </w:r>
          </w:p>
        </w:tc>
        <w:tc>
          <w:tcPr>
            <w:tcW w:w="80" w:type="dxa"/>
            <w:vAlign w:val="bottom"/>
          </w:tcPr>
          <w:p>
            <w:pPr>
              <w:spacing w:after="0"/>
              <w:rPr>
                <w:sz w:val="22"/>
                <w:szCs w:val="22"/>
                <w:color w:val="auto"/>
              </w:rPr>
            </w:pPr>
          </w:p>
        </w:tc>
      </w:tr>
      <w:tr>
        <w:trPr>
          <w:trHeight w:val="20"/>
        </w:trPr>
        <w:tc>
          <w:tcPr>
            <w:tcW w:w="3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-231140</wp:posOffset>
            </wp:positionV>
            <wp:extent cx="17970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-213995</wp:posOffset>
            </wp:positionV>
            <wp:extent cx="17970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-231140</wp:posOffset>
            </wp:positionV>
            <wp:extent cx="16319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-213995</wp:posOffset>
            </wp:positionV>
            <wp:extent cx="16319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-231140</wp:posOffset>
            </wp:positionV>
            <wp:extent cx="1460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-213995</wp:posOffset>
            </wp:positionV>
            <wp:extent cx="14605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-231140</wp:posOffset>
            </wp:positionV>
            <wp:extent cx="431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-213995</wp:posOffset>
            </wp:positionV>
            <wp:extent cx="431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weighted average assumptions used in calculating the fair value of stock options granted during the nine months ended September 30, 2021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 were as follows:</w:t>
      </w:r>
    </w:p>
    <w:p>
      <w:pPr>
        <w:spacing w:after="0" w:line="256" w:lineRule="exact"/>
        <w:rPr>
          <w:sz w:val="20"/>
          <w:szCs w:val="20"/>
          <w:color w:val="auto"/>
        </w:rPr>
      </w:pPr>
    </w:p>
    <w:p>
      <w:pPr>
        <w:jc w:val="center"/>
        <w:ind w:left="4480"/>
        <w:spacing w:after="0"/>
        <w:rPr>
          <w:sz w:val="20"/>
          <w:szCs w:val="20"/>
          <w:color w:val="auto"/>
        </w:rPr>
      </w:pPr>
      <w:r>
        <w:rPr>
          <w:rFonts w:ascii="Arial" w:cs="Arial" w:eastAsia="Arial" w:hAnsi="Arial"/>
          <w:sz w:val="14"/>
          <w:szCs w:val="14"/>
          <w:b w:val="1"/>
          <w:bCs w:val="1"/>
          <w:color w:val="auto"/>
        </w:rPr>
        <w:t>For the Nine Months Ended September</w:t>
      </w:r>
    </w:p>
    <w:p>
      <w:pPr>
        <w:spacing w:after="0" w:line="25" w:lineRule="exact"/>
        <w:rPr>
          <w:sz w:val="20"/>
          <w:szCs w:val="20"/>
          <w:color w:val="auto"/>
        </w:rPr>
      </w:pPr>
    </w:p>
    <w:p>
      <w:pPr>
        <w:jc w:val="center"/>
        <w:ind w:left="4520"/>
        <w:spacing w:after="0"/>
        <w:rPr>
          <w:sz w:val="20"/>
          <w:szCs w:val="20"/>
          <w:color w:val="auto"/>
        </w:rPr>
      </w:pPr>
      <w:r>
        <w:rPr>
          <w:rFonts w:ascii="Arial" w:cs="Arial" w:eastAsia="Arial" w:hAnsi="Arial"/>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160337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0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c>
          <w:tcPr>
            <w:tcW w:w="10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56"/>
        </w:trPr>
        <w:tc>
          <w:tcPr>
            <w:tcW w:w="1820" w:type="dxa"/>
            <w:vAlign w:val="bottom"/>
          </w:tcPr>
          <w:p>
            <w:pPr>
              <w:spacing w:after="0"/>
              <w:rPr>
                <w:sz w:val="22"/>
                <w:szCs w:val="22"/>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Expected life</w:t>
            </w:r>
          </w:p>
        </w:tc>
        <w:tc>
          <w:tcPr>
            <w:tcW w:w="2080" w:type="dxa"/>
            <w:vAlign w:val="bottom"/>
            <w:shd w:val="clear" w:color="auto" w:fill="CFF0FC"/>
          </w:tcPr>
          <w:p>
            <w:pPr>
              <w:spacing w:after="0"/>
              <w:rPr>
                <w:sz w:val="22"/>
                <w:szCs w:val="22"/>
                <w:color w:val="auto"/>
              </w:rPr>
            </w:pPr>
          </w:p>
        </w:tc>
        <w:tc>
          <w:tcPr>
            <w:tcW w:w="1460" w:type="dxa"/>
            <w:vAlign w:val="bottom"/>
            <w:gridSpan w:val="2"/>
            <w:shd w:val="clear" w:color="auto" w:fill="CFF0FC"/>
          </w:tcPr>
          <w:p>
            <w:pPr>
              <w:jc w:val="right"/>
              <w:ind w:right="420"/>
              <w:spacing w:after="0"/>
              <w:rPr>
                <w:sz w:val="20"/>
                <w:szCs w:val="20"/>
                <w:color w:val="auto"/>
              </w:rPr>
            </w:pPr>
            <w:r>
              <w:rPr>
                <w:rFonts w:ascii="Arial" w:cs="Arial" w:eastAsia="Arial" w:hAnsi="Arial"/>
                <w:sz w:val="18"/>
                <w:szCs w:val="18"/>
                <w:color w:val="auto"/>
              </w:rPr>
              <w:t>7.5 (yrs)</w:t>
            </w: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7.5 (yrs)</w:t>
            </w:r>
          </w:p>
        </w:tc>
        <w:tc>
          <w:tcPr>
            <w:tcW w:w="1800" w:type="dxa"/>
            <w:vAlign w:val="bottom"/>
          </w:tcPr>
          <w:p>
            <w:pPr>
              <w:spacing w:after="0"/>
              <w:rPr>
                <w:sz w:val="22"/>
                <w:szCs w:val="22"/>
                <w:color w:val="auto"/>
              </w:rPr>
            </w:pPr>
          </w:p>
        </w:tc>
      </w:tr>
      <w:tr>
        <w:trPr>
          <w:trHeight w:val="250"/>
        </w:trPr>
        <w:tc>
          <w:tcPr>
            <w:tcW w:w="1820" w:type="dxa"/>
            <w:vAlign w:val="bottom"/>
          </w:tcPr>
          <w:p>
            <w:pPr>
              <w:spacing w:after="0"/>
              <w:rPr>
                <w:sz w:val="21"/>
                <w:szCs w:val="21"/>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Expected volatility</w:t>
            </w:r>
          </w:p>
        </w:tc>
        <w:tc>
          <w:tcPr>
            <w:tcW w:w="3540" w:type="dxa"/>
            <w:vAlign w:val="bottom"/>
            <w:gridSpan w:val="3"/>
          </w:tcPr>
          <w:p>
            <w:pPr>
              <w:jc w:val="right"/>
              <w:ind w:right="240"/>
              <w:spacing w:after="0"/>
              <w:rPr>
                <w:sz w:val="20"/>
                <w:szCs w:val="20"/>
                <w:color w:val="auto"/>
              </w:rPr>
            </w:pPr>
            <w:r>
              <w:rPr>
                <w:rFonts w:ascii="Arial" w:cs="Arial" w:eastAsia="Arial" w:hAnsi="Arial"/>
                <w:sz w:val="18"/>
                <w:szCs w:val="18"/>
                <w:color w:val="auto"/>
              </w:rPr>
              <w:t>40.33 %</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36.85 %</w:t>
            </w:r>
          </w:p>
        </w:tc>
        <w:tc>
          <w:tcPr>
            <w:tcW w:w="1800" w:type="dxa"/>
            <w:vAlign w:val="bottom"/>
          </w:tcPr>
          <w:p>
            <w:pPr>
              <w:spacing w:after="0"/>
              <w:rPr>
                <w:sz w:val="21"/>
                <w:szCs w:val="21"/>
                <w:color w:val="auto"/>
              </w:rPr>
            </w:pPr>
          </w:p>
        </w:tc>
      </w:tr>
      <w:tr>
        <w:trPr>
          <w:trHeight w:val="263"/>
        </w:trPr>
        <w:tc>
          <w:tcPr>
            <w:tcW w:w="1820" w:type="dxa"/>
            <w:vAlign w:val="bottom"/>
          </w:tcPr>
          <w:p>
            <w:pPr>
              <w:spacing w:after="0"/>
              <w:rPr>
                <w:sz w:val="22"/>
                <w:szCs w:val="22"/>
                <w:color w:val="auto"/>
              </w:rPr>
            </w:pPr>
          </w:p>
        </w:tc>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5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1.68 %</w:t>
            </w: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1.39 %</w:t>
            </w:r>
          </w:p>
        </w:tc>
        <w:tc>
          <w:tcPr>
            <w:tcW w:w="1800" w:type="dxa"/>
            <w:vAlign w:val="bottom"/>
          </w:tcPr>
          <w:p>
            <w:pPr>
              <w:spacing w:after="0"/>
              <w:rPr>
                <w:sz w:val="22"/>
                <w:szCs w:val="22"/>
                <w:color w:val="auto"/>
              </w:rPr>
            </w:pPr>
          </w:p>
        </w:tc>
      </w:tr>
      <w:tr>
        <w:trPr>
          <w:trHeight w:val="243"/>
        </w:trPr>
        <w:tc>
          <w:tcPr>
            <w:tcW w:w="1820" w:type="dxa"/>
            <w:vAlign w:val="bottom"/>
          </w:tcPr>
          <w:p>
            <w:pPr>
              <w:spacing w:after="0"/>
              <w:rPr>
                <w:sz w:val="21"/>
                <w:szCs w:val="21"/>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540" w:type="dxa"/>
            <w:vAlign w:val="bottom"/>
            <w:gridSpan w:val="3"/>
          </w:tcPr>
          <w:p>
            <w:pPr>
              <w:jc w:val="right"/>
              <w:ind w:right="240"/>
              <w:spacing w:after="0"/>
              <w:rPr>
                <w:sz w:val="20"/>
                <w:szCs w:val="20"/>
                <w:color w:val="auto"/>
              </w:rPr>
            </w:pPr>
            <w:r>
              <w:rPr>
                <w:rFonts w:ascii="Arial" w:cs="Arial" w:eastAsia="Arial" w:hAnsi="Arial"/>
                <w:sz w:val="18"/>
                <w:szCs w:val="18"/>
                <w:color w:val="auto"/>
              </w:rPr>
              <w:t>0.00 %</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0.00 %</w:t>
            </w:r>
          </w:p>
        </w:tc>
        <w:tc>
          <w:tcPr>
            <w:tcW w:w="1800" w:type="dxa"/>
            <w:vAlign w:val="bottom"/>
          </w:tcPr>
          <w:p>
            <w:pPr>
              <w:spacing w:after="0"/>
              <w:rPr>
                <w:sz w:val="21"/>
                <w:szCs w:val="21"/>
                <w:color w:val="auto"/>
              </w:rPr>
            </w:pPr>
          </w:p>
        </w:tc>
      </w:tr>
      <w:tr>
        <w:trPr>
          <w:trHeight w:val="420"/>
        </w:trPr>
        <w:tc>
          <w:tcPr>
            <w:tcW w:w="18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080" w:type="dxa"/>
            <w:vAlign w:val="bottom"/>
          </w:tcPr>
          <w:p>
            <w:pPr>
              <w:jc w:val="right"/>
              <w:ind w:right="855"/>
              <w:spacing w:after="0"/>
              <w:rPr>
                <w:sz w:val="20"/>
                <w:szCs w:val="20"/>
                <w:color w:val="auto"/>
              </w:rPr>
            </w:pPr>
            <w:r>
              <w:rPr>
                <w:rFonts w:ascii="Arial" w:cs="Arial" w:eastAsia="Arial" w:hAnsi="Arial"/>
                <w:sz w:val="14"/>
                <w:szCs w:val="14"/>
                <w:color w:val="auto"/>
              </w:rPr>
              <w:t>28</w:t>
            </w: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89"/>
        </w:trPr>
        <w:tc>
          <w:tcPr>
            <w:tcW w:w="182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76"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Compensation expense equal to the grant date fair value is recognized for these awards over the vesting period and is included in compensation and benefits on our Consolidated Statements of Operations. The stock-based compensation expense for the nine and three months ended September 30, 2021 was $1.5 and $0.5 million and for the nine and three months ended September 30, 2020 was $0.5 million and $0.2 million, respectively. Unrecognized stock-based compensation expense related to outstanding unvested stock options as of September 30, 2021 was $8.4 million and is expected to be recognized over a weighted average period of 3.06 years. Any future forfeitures will impact this amount.</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restricted stock activity for the nine months ended September 30, 2021 is presented below:</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60" w:type="dxa"/>
            <w:vAlign w:val="bottom"/>
          </w:tcPr>
          <w:p>
            <w:pPr>
              <w:spacing w:after="0"/>
              <w:rPr>
                <w:sz w:val="16"/>
                <w:szCs w:val="16"/>
                <w:color w:val="auto"/>
              </w:rPr>
            </w:pPr>
          </w:p>
        </w:tc>
        <w:tc>
          <w:tcPr>
            <w:tcW w:w="1900" w:type="dxa"/>
            <w:vAlign w:val="bottom"/>
          </w:tcPr>
          <w:p>
            <w:pPr>
              <w:jc w:val="center"/>
              <w:ind w:left="688"/>
              <w:spacing w:after="0"/>
              <w:rPr>
                <w:sz w:val="20"/>
                <w:szCs w:val="20"/>
                <w:color w:val="auto"/>
              </w:rPr>
            </w:pPr>
            <w:r>
              <w:rPr>
                <w:rFonts w:ascii="Arial" w:cs="Arial" w:eastAsia="Arial" w:hAnsi="Arial"/>
                <w:sz w:val="14"/>
                <w:szCs w:val="14"/>
                <w:b w:val="1"/>
                <w:bCs w:val="1"/>
                <w:color w:val="auto"/>
                <w:w w:val="94"/>
              </w:rPr>
              <w:t>Number of</w:t>
            </w:r>
          </w:p>
        </w:tc>
        <w:tc>
          <w:tcPr>
            <w:tcW w:w="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00" w:type="dxa"/>
            <w:vAlign w:val="bottom"/>
          </w:tcPr>
          <w:p>
            <w:pPr>
              <w:jc w:val="right"/>
              <w:ind w:right="455"/>
              <w:spacing w:after="0"/>
              <w:rPr>
                <w:sz w:val="20"/>
                <w:szCs w:val="20"/>
                <w:color w:val="auto"/>
              </w:rPr>
            </w:pPr>
            <w:r>
              <w:rPr>
                <w:rFonts w:ascii="Arial" w:cs="Arial" w:eastAsia="Arial" w:hAnsi="Arial"/>
                <w:sz w:val="14"/>
                <w:szCs w:val="14"/>
                <w:b w:val="1"/>
                <w:bCs w:val="1"/>
                <w:color w:val="auto"/>
              </w:rPr>
              <w:t>Weighted-Average Grant</w:t>
            </w:r>
          </w:p>
        </w:tc>
        <w:tc>
          <w:tcPr>
            <w:tcW w:w="60" w:type="dxa"/>
            <w:vAlign w:val="bottom"/>
          </w:tcPr>
          <w:p>
            <w:pPr>
              <w:spacing w:after="0"/>
              <w:rPr>
                <w:sz w:val="16"/>
                <w:szCs w:val="16"/>
                <w:color w:val="auto"/>
              </w:rPr>
            </w:pPr>
          </w:p>
        </w:tc>
      </w:tr>
      <w:tr>
        <w:trPr>
          <w:trHeight w:val="208"/>
        </w:trPr>
        <w:tc>
          <w:tcPr>
            <w:tcW w:w="5560" w:type="dxa"/>
            <w:vAlign w:val="bottom"/>
          </w:tcPr>
          <w:p>
            <w:pPr>
              <w:spacing w:after="0"/>
              <w:rPr>
                <w:sz w:val="18"/>
                <w:szCs w:val="18"/>
                <w:color w:val="auto"/>
              </w:rPr>
            </w:pPr>
          </w:p>
        </w:tc>
        <w:tc>
          <w:tcPr>
            <w:tcW w:w="1900" w:type="dxa"/>
            <w:vAlign w:val="bottom"/>
            <w:tcBorders>
              <w:bottom w:val="single" w:sz="8" w:color="auto"/>
            </w:tcBorders>
          </w:tcPr>
          <w:p>
            <w:pPr>
              <w:jc w:val="center"/>
              <w:ind w:left="688"/>
              <w:spacing w:after="0"/>
              <w:rPr>
                <w:sz w:val="20"/>
                <w:szCs w:val="20"/>
                <w:color w:val="auto"/>
              </w:rPr>
            </w:pPr>
            <w:r>
              <w:rPr>
                <w:rFonts w:ascii="Arial" w:cs="Arial" w:eastAsia="Arial" w:hAnsi="Arial"/>
                <w:sz w:val="14"/>
                <w:szCs w:val="14"/>
                <w:b w:val="1"/>
                <w:bCs w:val="1"/>
                <w:color w:val="auto"/>
                <w:w w:val="90"/>
              </w:rPr>
              <w:t>RSAs</w:t>
            </w:r>
          </w:p>
        </w:tc>
        <w:tc>
          <w:tcPr>
            <w:tcW w:w="7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Date Fair Value Per RSA</w:t>
            </w:r>
          </w:p>
        </w:tc>
        <w:tc>
          <w:tcPr>
            <w:tcW w:w="60" w:type="dxa"/>
            <w:vAlign w:val="bottom"/>
          </w:tcPr>
          <w:p>
            <w:pPr>
              <w:spacing w:after="0"/>
              <w:rPr>
                <w:sz w:val="18"/>
                <w:szCs w:val="18"/>
                <w:color w:val="auto"/>
              </w:rPr>
            </w:pPr>
          </w:p>
        </w:tc>
      </w:tr>
      <w:tr>
        <w:trPr>
          <w:trHeight w:val="256"/>
        </w:trPr>
        <w:tc>
          <w:tcPr>
            <w:tcW w:w="74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Outstanding as of December 31, 2020</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2"/>
                <w:szCs w:val="22"/>
                <w:color w:val="auto"/>
              </w:rPr>
            </w:pPr>
          </w:p>
        </w:tc>
      </w:tr>
      <w:tr>
        <w:trPr>
          <w:trHeight w:val="250"/>
        </w:trPr>
        <w:tc>
          <w:tcPr>
            <w:tcW w:w="7460" w:type="dxa"/>
            <w:vAlign w:val="bottom"/>
            <w:gridSpan w:val="2"/>
          </w:tcPr>
          <w:p>
            <w:pPr>
              <w:ind w:left="200"/>
              <w:spacing w:after="0"/>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rPr>
                <w:sz w:val="20"/>
                <w:szCs w:val="20"/>
                <w:color w:val="auto"/>
              </w:rPr>
            </w:pPr>
            <w:r>
              <w:rPr>
                <w:rFonts w:ascii="Arial" w:cs="Arial" w:eastAsia="Arial" w:hAnsi="Arial"/>
                <w:sz w:val="18"/>
                <w:szCs w:val="18"/>
                <w:color w:val="auto"/>
              </w:rPr>
              <w:t>26,582</w:t>
            </w:r>
          </w:p>
        </w:tc>
        <w:tc>
          <w:tcPr>
            <w:tcW w:w="3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11.29</w:t>
            </w:r>
          </w:p>
        </w:tc>
        <w:tc>
          <w:tcPr>
            <w:tcW w:w="60" w:type="dxa"/>
            <w:vAlign w:val="bottom"/>
          </w:tcPr>
          <w:p>
            <w:pPr>
              <w:spacing w:after="0"/>
              <w:rPr>
                <w:sz w:val="21"/>
                <w:szCs w:val="21"/>
                <w:color w:val="auto"/>
              </w:rPr>
            </w:pPr>
          </w:p>
        </w:tc>
      </w:tr>
      <w:tr>
        <w:trPr>
          <w:trHeight w:val="263"/>
        </w:trPr>
        <w:tc>
          <w:tcPr>
            <w:tcW w:w="746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2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2"/>
                <w:szCs w:val="22"/>
                <w:color w:val="auto"/>
              </w:rPr>
            </w:pPr>
          </w:p>
        </w:tc>
      </w:tr>
      <w:tr>
        <w:trPr>
          <w:trHeight w:val="257"/>
        </w:trPr>
        <w:tc>
          <w:tcPr>
            <w:tcW w:w="5560" w:type="dxa"/>
            <w:vAlign w:val="bottom"/>
          </w:tcPr>
          <w:p>
            <w:pPr>
              <w:ind w:left="200"/>
              <w:spacing w:after="0"/>
              <w:rPr>
                <w:sz w:val="20"/>
                <w:szCs w:val="20"/>
                <w:color w:val="auto"/>
              </w:rPr>
            </w:pPr>
            <w:r>
              <w:rPr>
                <w:rFonts w:ascii="Arial" w:cs="Arial" w:eastAsia="Arial" w:hAnsi="Arial"/>
                <w:sz w:val="18"/>
                <w:szCs w:val="18"/>
                <w:color w:val="auto"/>
              </w:rPr>
              <w:t>Expired/Forfeited</w:t>
            </w:r>
          </w:p>
        </w:tc>
        <w:tc>
          <w:tcPr>
            <w:tcW w:w="19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2"/>
                <w:szCs w:val="22"/>
                <w:color w:val="auto"/>
              </w:rPr>
            </w:pPr>
          </w:p>
        </w:tc>
      </w:tr>
      <w:tr>
        <w:trPr>
          <w:trHeight w:val="290"/>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as of September 30, 2021</w:t>
            </w:r>
          </w:p>
        </w:tc>
        <w:tc>
          <w:tcPr>
            <w:tcW w:w="1900" w:type="dxa"/>
            <w:vAlign w:val="bottom"/>
            <w:tcBorders>
              <w:bottom w:val="single" w:sz="8" w:color="auto"/>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26,582</w:t>
            </w:r>
          </w:p>
        </w:tc>
        <w:tc>
          <w:tcPr>
            <w:tcW w:w="3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-24765</wp:posOffset>
            </wp:positionV>
            <wp:extent cx="23177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2317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148"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The Company presents basic EPS and diluted EPS for our common stock. Basic EPS excludes potential dilution and is computed by dividing net income by the weighted-average number of common shares outstanding for the period. Diluted EPS reflects the potential dilution that could occur if shares of common stock were issued pursuant to our stock-based compensation awards. Additionally, diluted EPS reflects the potential dilution that could occur if convertible preferred shares of P10 Intermediate were converted into common shares of P10 Intermediate.</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reconciliation of the numerators and denominators used in the computation of basic and diluted EPS: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311"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9"/>
              </w:rPr>
              <w:t>For the Three Months Ended</w:t>
            </w:r>
          </w:p>
        </w:tc>
        <w:tc>
          <w:tcPr>
            <w:tcW w:w="200" w:type="dxa"/>
            <w:vAlign w:val="bottom"/>
          </w:tcPr>
          <w:p>
            <w:pPr>
              <w:spacing w:after="0"/>
              <w:rPr>
                <w:sz w:val="16"/>
                <w:szCs w:val="16"/>
                <w:color w:val="auto"/>
              </w:rPr>
            </w:pPr>
          </w:p>
        </w:tc>
        <w:tc>
          <w:tcPr>
            <w:tcW w:w="22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9"/>
              </w:rPr>
              <w:t>For the Nine Months Ended</w:t>
            </w:r>
          </w:p>
        </w:tc>
        <w:tc>
          <w:tcPr>
            <w:tcW w:w="0" w:type="dxa"/>
            <w:vAlign w:val="bottom"/>
          </w:tcPr>
          <w:p>
            <w:pPr>
              <w:spacing w:after="0"/>
              <w:rPr>
                <w:sz w:val="1"/>
                <w:szCs w:val="1"/>
                <w:color w:val="auto"/>
              </w:rPr>
            </w:pPr>
          </w:p>
        </w:tc>
      </w:tr>
      <w:tr>
        <w:trPr>
          <w:trHeight w:val="208"/>
        </w:trPr>
        <w:tc>
          <w:tcPr>
            <w:tcW w:w="5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Numerator:</w:t>
            </w: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060" w:type="dxa"/>
            <w:vAlign w:val="bottom"/>
          </w:tcPr>
          <w:p>
            <w:pPr>
              <w:ind w:left="180"/>
              <w:spacing w:after="0"/>
              <w:rPr>
                <w:sz w:val="20"/>
                <w:szCs w:val="20"/>
                <w:color w:val="auto"/>
              </w:rPr>
            </w:pPr>
            <w:r>
              <w:rPr>
                <w:rFonts w:ascii="Arial" w:cs="Arial" w:eastAsia="Arial" w:hAnsi="Arial"/>
                <w:sz w:val="18"/>
                <w:szCs w:val="18"/>
                <w:color w:val="auto"/>
              </w:rPr>
              <w:t>Numerator for basic calculation—Net income/(loss)</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320"/>
              <w:spacing w:after="0"/>
              <w:rPr>
                <w:sz w:val="20"/>
                <w:szCs w:val="20"/>
                <w:color w:val="auto"/>
              </w:rPr>
            </w:pPr>
            <w:r>
              <w:rPr>
                <w:rFonts w:ascii="Arial" w:cs="Arial" w:eastAsia="Arial" w:hAnsi="Arial"/>
                <w:sz w:val="18"/>
                <w:szCs w:val="18"/>
                <w:color w:val="auto"/>
              </w:rPr>
              <w:t>attributable to P10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3,584</w:t>
            </w:r>
          </w:p>
        </w:tc>
        <w:tc>
          <w:tcPr>
            <w:tcW w:w="2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(88 )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7,777</w:t>
            </w:r>
          </w:p>
        </w:tc>
        <w:tc>
          <w:tcPr>
            <w:tcW w:w="2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2,880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Adjustment for:</w:t>
            </w:r>
          </w:p>
        </w:tc>
        <w:tc>
          <w:tcPr>
            <w:tcW w:w="20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7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5060" w:type="dxa"/>
            <w:vAlign w:val="bottom"/>
          </w:tcPr>
          <w:p>
            <w:pPr>
              <w:ind w:left="360"/>
              <w:spacing w:after="0"/>
              <w:rPr>
                <w:sz w:val="20"/>
                <w:szCs w:val="20"/>
                <w:color w:val="auto"/>
              </w:rPr>
            </w:pPr>
            <w:r>
              <w:rPr>
                <w:rFonts w:ascii="Arial" w:cs="Arial" w:eastAsia="Arial" w:hAnsi="Arial"/>
                <w:sz w:val="18"/>
                <w:szCs w:val="18"/>
                <w:color w:val="auto"/>
              </w:rPr>
              <w:t>Preferred dividends attributable to redeemable</w:t>
            </w: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500"/>
              <w:spacing w:after="0"/>
              <w:rPr>
                <w:sz w:val="20"/>
                <w:szCs w:val="20"/>
                <w:color w:val="auto"/>
              </w:rPr>
            </w:pPr>
            <w:r>
              <w:rPr>
                <w:rFonts w:ascii="Arial" w:cs="Arial" w:eastAsia="Arial" w:hAnsi="Arial"/>
                <w:sz w:val="18"/>
                <w:szCs w:val="18"/>
                <w:color w:val="auto"/>
              </w:rPr>
              <w:t>noncontrolling interest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494</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Proportionate share of subsidiary's earnings</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attributable to subsidiary's convertible</w:t>
            </w:r>
          </w:p>
        </w:tc>
        <w:tc>
          <w:tcPr>
            <w:tcW w:w="200" w:type="dxa"/>
            <w:vAlign w:val="bottom"/>
            <w:shd w:val="clear" w:color="auto" w:fill="CFF0FC"/>
          </w:tcPr>
          <w:p>
            <w:pPr>
              <w:spacing w:after="0"/>
              <w:rPr>
                <w:sz w:val="19"/>
                <w:szCs w:val="19"/>
                <w:color w:val="auto"/>
              </w:rPr>
            </w:pPr>
          </w:p>
        </w:tc>
        <w:tc>
          <w:tcPr>
            <w:tcW w:w="11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(1,563 )</w:t>
            </w:r>
          </w:p>
        </w:tc>
        <w:tc>
          <w:tcPr>
            <w:tcW w:w="360" w:type="dxa"/>
            <w:vAlign w:val="bottom"/>
            <w:shd w:val="clear" w:color="auto" w:fill="CFF0FC"/>
          </w:tcPr>
          <w:p>
            <w:pPr>
              <w:spacing w:after="0"/>
              <w:rPr>
                <w:sz w:val="19"/>
                <w:szCs w:val="19"/>
                <w:color w:val="auto"/>
              </w:rPr>
            </w:pPr>
          </w:p>
        </w:tc>
        <w:tc>
          <w:tcPr>
            <w:tcW w:w="9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(233 )</w:t>
            </w:r>
          </w:p>
        </w:tc>
        <w:tc>
          <w:tcPr>
            <w:tcW w:w="200" w:type="dxa"/>
            <w:vAlign w:val="bottom"/>
            <w:shd w:val="clear" w:color="auto" w:fill="CFF0FC"/>
          </w:tcPr>
          <w:p>
            <w:pPr>
              <w:spacing w:after="0"/>
              <w:rPr>
                <w:sz w:val="19"/>
                <w:szCs w:val="19"/>
                <w:color w:val="auto"/>
              </w:rPr>
            </w:pPr>
          </w:p>
        </w:tc>
        <w:tc>
          <w:tcPr>
            <w:tcW w:w="108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(3,599 )</w:t>
            </w:r>
          </w:p>
        </w:tc>
        <w:tc>
          <w:tcPr>
            <w:tcW w:w="360" w:type="dxa"/>
            <w:vAlign w:val="bottom"/>
            <w:shd w:val="clear" w:color="auto" w:fill="CFF0FC"/>
          </w:tcPr>
          <w:p>
            <w:pPr>
              <w:spacing w:after="0"/>
              <w:rPr>
                <w:sz w:val="19"/>
                <w:szCs w:val="19"/>
                <w:color w:val="auto"/>
              </w:rPr>
            </w:pPr>
          </w:p>
        </w:tc>
        <w:tc>
          <w:tcPr>
            <w:tcW w:w="8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(568 )</w:t>
            </w:r>
          </w:p>
        </w:tc>
        <w:tc>
          <w:tcPr>
            <w:tcW w:w="0" w:type="dxa"/>
            <w:vAlign w:val="bottom"/>
          </w:tcPr>
          <w:p>
            <w:pPr>
              <w:spacing w:after="0"/>
              <w:rPr>
                <w:sz w:val="1"/>
                <w:szCs w:val="1"/>
                <w:color w:val="auto"/>
              </w:rPr>
            </w:pPr>
          </w:p>
        </w:tc>
      </w:tr>
      <w:tr>
        <w:trPr>
          <w:trHeight w:val="230"/>
        </w:trPr>
        <w:tc>
          <w:tcPr>
            <w:tcW w:w="50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preferred stock under assumed conversion</w:t>
            </w:r>
          </w:p>
        </w:tc>
        <w:tc>
          <w:tcPr>
            <w:tcW w:w="200" w:type="dxa"/>
            <w:vAlign w:val="bottom"/>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20" w:type="dxa"/>
            <w:vAlign w:val="bottom"/>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80" w:type="dxa"/>
            <w:vAlign w:val="bottom"/>
            <w:gridSpan w:val="2"/>
            <w:vMerge w:val="continue"/>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Numerator for earnings per share</w:t>
            </w:r>
          </w:p>
        </w:tc>
        <w:tc>
          <w:tcPr>
            <w:tcW w:w="2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0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Numerator for earnings per share assuming</w:t>
            </w: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2,515</w:t>
            </w:r>
          </w:p>
        </w:tc>
        <w:tc>
          <w:tcPr>
            <w:tcW w:w="220" w:type="dxa"/>
            <w:vAlign w:val="bottom"/>
            <w:shd w:val="clear" w:color="auto" w:fill="CFF0FC"/>
          </w:tcPr>
          <w:p>
            <w:pPr>
              <w:spacing w:after="0"/>
              <w:rPr>
                <w:sz w:val="21"/>
                <w:szCs w:val="21"/>
                <w:color w:val="auto"/>
              </w:rPr>
            </w:pP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(168 )</w:t>
            </w:r>
          </w:p>
        </w:tc>
        <w:tc>
          <w:tcPr>
            <w:tcW w:w="200" w:type="dxa"/>
            <w:vAlign w:val="bottom"/>
            <w:vMerge w:val="restart"/>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5,661</w:t>
            </w:r>
          </w:p>
        </w:tc>
        <w:tc>
          <w:tcPr>
            <w:tcW w:w="220" w:type="dxa"/>
            <w:vAlign w:val="bottom"/>
            <w:shd w:val="clear" w:color="auto" w:fill="CFF0FC"/>
          </w:tcPr>
          <w:p>
            <w:pPr>
              <w:spacing w:after="0"/>
              <w:rPr>
                <w:sz w:val="21"/>
                <w:szCs w:val="21"/>
                <w:color w:val="auto"/>
              </w:rPr>
            </w:pP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60" w:type="dxa"/>
            <w:vAlign w:val="bottom"/>
            <w:shd w:val="clear" w:color="auto" w:fill="CFF0FC"/>
          </w:tcPr>
          <w:p>
            <w:pPr>
              <w:ind w:left="320"/>
              <w:spacing w:after="0" w:line="203" w:lineRule="exact"/>
              <w:rPr>
                <w:sz w:val="20"/>
                <w:szCs w:val="20"/>
                <w:color w:val="auto"/>
              </w:rPr>
            </w:pPr>
            <w:r>
              <w:rPr>
                <w:rFonts w:ascii="Arial" w:cs="Arial" w:eastAsia="Arial" w:hAnsi="Arial"/>
                <w:sz w:val="18"/>
                <w:szCs w:val="18"/>
                <w:color w:val="auto"/>
              </w:rPr>
              <w:t>dilution</w:t>
            </w:r>
          </w:p>
        </w:tc>
        <w:tc>
          <w:tcPr>
            <w:tcW w:w="200" w:type="dxa"/>
            <w:vAlign w:val="bottom"/>
            <w:vMerge w:val="continue"/>
            <w:shd w:val="clear" w:color="auto" w:fill="CFF0FC"/>
          </w:tcPr>
          <w:p>
            <w:pPr>
              <w:spacing w:after="0"/>
              <w:rPr>
                <w:sz w:val="21"/>
                <w:szCs w:val="21"/>
                <w:color w:val="auto"/>
              </w:rPr>
            </w:pPr>
          </w:p>
        </w:tc>
        <w:tc>
          <w:tcPr>
            <w:tcW w:w="900" w:type="dxa"/>
            <w:vAlign w:val="bottom"/>
            <w:vMerge w:val="continue"/>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vMerge w:val="continue"/>
            <w:shd w:val="clear" w:color="auto" w:fill="CFF0FC"/>
          </w:tcPr>
          <w:p>
            <w:pPr>
              <w:spacing w:after="0"/>
              <w:rPr>
                <w:sz w:val="21"/>
                <w:szCs w:val="21"/>
                <w:color w:val="auto"/>
              </w:rPr>
            </w:pPr>
          </w:p>
        </w:tc>
        <w:tc>
          <w:tcPr>
            <w:tcW w:w="920" w:type="dxa"/>
            <w:vAlign w:val="bottom"/>
            <w:gridSpan w:val="2"/>
            <w:vMerge w:val="continue"/>
            <w:shd w:val="clear" w:color="auto" w:fill="CFF0FC"/>
          </w:tcPr>
          <w:p>
            <w:pPr>
              <w:spacing w:after="0"/>
              <w:rPr>
                <w:sz w:val="21"/>
                <w:szCs w:val="21"/>
                <w:color w:val="auto"/>
              </w:rPr>
            </w:pPr>
          </w:p>
        </w:tc>
        <w:tc>
          <w:tcPr>
            <w:tcW w:w="200" w:type="dxa"/>
            <w:vAlign w:val="bottom"/>
            <w:vMerge w:val="continue"/>
            <w:shd w:val="clear" w:color="auto" w:fill="CFF0FC"/>
          </w:tcPr>
          <w:p>
            <w:pPr>
              <w:spacing w:after="0"/>
              <w:rPr>
                <w:sz w:val="21"/>
                <w:szCs w:val="21"/>
                <w:color w:val="auto"/>
              </w:rPr>
            </w:pPr>
          </w:p>
        </w:tc>
        <w:tc>
          <w:tcPr>
            <w:tcW w:w="860" w:type="dxa"/>
            <w:vAlign w:val="bottom"/>
            <w:vMerge w:val="continue"/>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vMerge w:val="continue"/>
            <w:shd w:val="clear" w:color="auto" w:fill="CFF0FC"/>
          </w:tcPr>
          <w:p>
            <w:pPr>
              <w:spacing w:after="0"/>
              <w:rPr>
                <w:sz w:val="21"/>
                <w:szCs w:val="21"/>
                <w:color w:val="auto"/>
              </w:rPr>
            </w:pPr>
          </w:p>
        </w:tc>
        <w:tc>
          <w:tcPr>
            <w:tcW w:w="700" w:type="dxa"/>
            <w:vAlign w:val="bottom"/>
            <w:vMerge w:val="continue"/>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Denominator:</w:t>
            </w:r>
          </w:p>
        </w:tc>
        <w:tc>
          <w:tcPr>
            <w:tcW w:w="2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Denominator for basic calculation—Weighted-</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506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average shares</w:t>
            </w:r>
          </w:p>
        </w:tc>
        <w:tc>
          <w:tcPr>
            <w:tcW w:w="20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62,464</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62,464</w:t>
            </w: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62,464</w:t>
            </w: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62,464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5060" w:type="dxa"/>
            <w:vAlign w:val="bottom"/>
          </w:tcPr>
          <w:p>
            <w:pPr>
              <w:ind w:left="180"/>
              <w:spacing w:after="0"/>
              <w:rPr>
                <w:sz w:val="20"/>
                <w:szCs w:val="20"/>
                <w:color w:val="auto"/>
              </w:rPr>
            </w:pPr>
            <w:r>
              <w:rPr>
                <w:rFonts w:ascii="Arial" w:cs="Arial" w:eastAsia="Arial" w:hAnsi="Arial"/>
                <w:sz w:val="18"/>
                <w:szCs w:val="18"/>
                <w:color w:val="auto"/>
              </w:rPr>
              <w:t>Weighted shares assumed upon exercise of stock</w:t>
            </w:r>
          </w:p>
        </w:tc>
        <w:tc>
          <w:tcPr>
            <w:tcW w:w="200" w:type="dxa"/>
            <w:vAlign w:val="bottom"/>
          </w:tcPr>
          <w:p>
            <w:pPr>
              <w:spacing w:after="0"/>
              <w:rPr>
                <w:sz w:val="21"/>
                <w:szCs w:val="2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4,323</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4,238</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1,978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20"/>
              <w:spacing w:after="0"/>
              <w:rPr>
                <w:sz w:val="20"/>
                <w:szCs w:val="20"/>
                <w:color w:val="auto"/>
              </w:rPr>
            </w:pPr>
            <w:r>
              <w:rPr>
                <w:rFonts w:ascii="Arial" w:cs="Arial" w:eastAsia="Arial" w:hAnsi="Arial"/>
                <w:sz w:val="18"/>
                <w:szCs w:val="18"/>
                <w:color w:val="auto"/>
              </w:rPr>
              <w:t>options</w:t>
            </w: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Denominator for earnings per share assuming dilution</w:t>
            </w:r>
          </w:p>
        </w:tc>
        <w:tc>
          <w:tcPr>
            <w:tcW w:w="200" w:type="dxa"/>
            <w:vAlign w:val="bottom"/>
            <w:tcBorders>
              <w:bottom w:val="single" w:sz="8" w:color="auto"/>
            </w:tcBorders>
            <w:shd w:val="clear" w:color="auto" w:fill="CFF0FC"/>
          </w:tcPr>
          <w:p>
            <w:pPr>
              <w:spacing w:after="0"/>
              <w:rPr>
                <w:sz w:val="24"/>
                <w:szCs w:val="2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66,787</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62,464</w:t>
            </w:r>
          </w:p>
        </w:tc>
        <w:tc>
          <w:tcPr>
            <w:tcW w:w="2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66,702</w:t>
            </w:r>
          </w:p>
        </w:tc>
        <w:tc>
          <w:tcPr>
            <w:tcW w:w="2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spacing w:after="0"/>
              <w:rPr>
                <w:sz w:val="24"/>
                <w:szCs w:val="2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64,442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180"/>
              <w:spacing w:after="0"/>
              <w:rPr>
                <w:sz w:val="20"/>
                <w:szCs w:val="20"/>
                <w:color w:val="auto"/>
              </w:rPr>
            </w:pPr>
            <w:r>
              <w:rPr>
                <w:rFonts w:ascii="Arial" w:cs="Arial" w:eastAsia="Arial" w:hAnsi="Arial"/>
                <w:sz w:val="18"/>
                <w:szCs w:val="18"/>
                <w:color w:val="auto"/>
              </w:rPr>
              <w:t>Earnings per share—basic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(0.00 )</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0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Earnings per share—diluted</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(0.00 )</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0.08</w:t>
            </w:r>
          </w:p>
        </w:tc>
        <w:tc>
          <w:tcPr>
            <w:tcW w:w="220" w:type="dxa"/>
            <w:vAlign w:val="bottom"/>
            <w:shd w:val="clear" w:color="auto" w:fill="CFF0FC"/>
          </w:tcPr>
          <w:p>
            <w:pPr>
              <w:spacing w:after="0"/>
              <w:rPr>
                <w:sz w:val="22"/>
                <w:szCs w:val="22"/>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-1771015</wp:posOffset>
            </wp:positionV>
            <wp:extent cx="14605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-1771015</wp:posOffset>
            </wp:positionV>
            <wp:extent cx="128905"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-1771015</wp:posOffset>
            </wp:positionV>
            <wp:extent cx="128905"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-1771015</wp:posOffset>
            </wp:positionV>
            <wp:extent cx="60325"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-1319530</wp:posOffset>
            </wp:positionV>
            <wp:extent cx="14605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-1302385</wp:posOffset>
            </wp:positionV>
            <wp:extent cx="14605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-1319530</wp:posOffset>
            </wp:positionV>
            <wp:extent cx="12890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-1302385</wp:posOffset>
            </wp:positionV>
            <wp:extent cx="12890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-1319530</wp:posOffset>
            </wp:positionV>
            <wp:extent cx="1289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-1302385</wp:posOffset>
            </wp:positionV>
            <wp:extent cx="1289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-1319530</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-1302385</wp:posOffset>
            </wp:positionV>
            <wp:extent cx="603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-351155</wp:posOffset>
            </wp:positionV>
            <wp:extent cx="14605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-333375</wp:posOffset>
            </wp:positionV>
            <wp:extent cx="14605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-351155</wp:posOffset>
            </wp:positionV>
            <wp:extent cx="12890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-333375</wp:posOffset>
            </wp:positionV>
            <wp:extent cx="12890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-351155</wp:posOffset>
            </wp:positionV>
            <wp:extent cx="12890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-333375</wp:posOffset>
            </wp:positionV>
            <wp:extent cx="12890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-351155</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-333375</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 computations of diluted earnings per share excluded options to purchase 0.0 million and 2.9 million shares of common stock for the three and nine months ended September 30, 2021 and 0.0 million and 2.0 million shares for the three and nine months ended September 30, 2020, respectively, because the options were anti-dilutive.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Redeemable Noncontrolling Interest</w:t>
      </w:r>
    </w:p>
    <w:p>
      <w:pPr>
        <w:spacing w:after="0" w:line="162" w:lineRule="exact"/>
        <w:rPr>
          <w:sz w:val="20"/>
          <w:szCs w:val="20"/>
          <w:color w:val="auto"/>
        </w:rPr>
      </w:pPr>
    </w:p>
    <w:p>
      <w:pPr>
        <w:jc w:val="both"/>
        <w:ind w:firstLine="509"/>
        <w:spacing w:after="0" w:line="288" w:lineRule="auto"/>
        <w:rPr>
          <w:sz w:val="20"/>
          <w:szCs w:val="20"/>
          <w:color w:val="auto"/>
        </w:rPr>
      </w:pPr>
      <w:r>
        <w:rPr>
          <w:rFonts w:ascii="Arial" w:cs="Arial" w:eastAsia="Arial" w:hAnsi="Arial"/>
          <w:sz w:val="17"/>
          <w:szCs w:val="17"/>
          <w:color w:val="auto"/>
        </w:rPr>
        <w:t>In connection with the closing of the acquisition of Five Points on April 1, 2020, the Company formed a new subsidiary, P10 Intermediate, which was the acquiring entity of Five Points. On April 1, 2020, P10 Intermediate issued three series (A, B and C) of redeemable convertible preferred shares. On October 2, 2020 and December 14, 2020, P10 Intermediate issued two additional series (D and E) in connection with the acquisitions of TrueBridge and Enhanced. The preferred shares on an as-if-converted basis represent approximately 40.9% of the aggregate issued and outstanding share capital of P10 Intermediate with P10 owning the remaining 59.1% through its 100% ownership of the outstanding common stock of P10 Intermediate. The third-party ownership interest represents a noncontrolling interest in P10 Intermediate, which we have a controlling interest in. There are common features among all three series of preferred shares, including:</w:t>
      </w:r>
    </w:p>
    <w:p>
      <w:pPr>
        <w:spacing w:after="0" w:line="7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right to convert each share into a common share of P10 Intermediate (1:1 ratio).</w:t>
      </w:r>
    </w:p>
    <w:p>
      <w:pPr>
        <w:spacing w:after="0" w:line="122" w:lineRule="exact"/>
        <w:rPr>
          <w:sz w:val="20"/>
          <w:szCs w:val="20"/>
          <w:color w:val="auto"/>
        </w:rPr>
      </w:pPr>
    </w:p>
    <w:p>
      <w:pPr>
        <w:jc w:val="both"/>
        <w:ind w:left="960"/>
        <w:spacing w:after="0" w:line="246" w:lineRule="auto"/>
        <w:rPr>
          <w:sz w:val="20"/>
          <w:szCs w:val="20"/>
          <w:color w:val="auto"/>
        </w:rPr>
      </w:pPr>
      <w:r>
        <w:rPr>
          <w:rFonts w:ascii="Arial" w:cs="Arial" w:eastAsia="Arial" w:hAnsi="Arial"/>
          <w:sz w:val="18"/>
          <w:szCs w:val="18"/>
          <w:color w:val="auto"/>
        </w:rPr>
        <w:t>The right to require P10 Intermediate to purchase all shares from the preferred shareholder after the 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anniversary of the Five Points acquisition close date unless the Company meets the acquisition threshold (as defined in P10 Intermediate’s Operating Agreement), at which point the right will be extended to the 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anniversary. The shares are redeemable at fair market value.</w:t>
      </w:r>
    </w:p>
    <w:p>
      <w:pPr>
        <w:spacing w:after="0" w:line="27" w:lineRule="exact"/>
        <w:rPr>
          <w:sz w:val="20"/>
          <w:szCs w:val="20"/>
          <w:color w:val="auto"/>
        </w:rPr>
      </w:pPr>
    </w:p>
    <w:p>
      <w:pPr>
        <w:jc w:val="both"/>
        <w:ind w:left="960" w:right="20"/>
        <w:spacing w:after="0" w:line="324" w:lineRule="auto"/>
        <w:rPr>
          <w:sz w:val="20"/>
          <w:szCs w:val="20"/>
          <w:color w:val="auto"/>
        </w:rPr>
      </w:pPr>
      <w:r>
        <w:rPr>
          <w:rFonts w:ascii="Arial" w:cs="Arial" w:eastAsia="Arial" w:hAnsi="Arial"/>
          <w:sz w:val="17"/>
          <w:szCs w:val="17"/>
          <w:color w:val="auto"/>
        </w:rPr>
        <w:t>P10 Intermediate has the right to exchange, immediately prior to a qualified public offer (as defined in P10 Intermediate’s Operating Agreement), each preferred share into an ordinary share of the new public entity at the then effective and applicable conversion price.</w:t>
      </w:r>
    </w:p>
    <w:p>
      <w:pPr>
        <w:spacing w:after="0" w:line="3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Each preferred share accrues dividends at the rate of 1% of the issue price per annum.</w:t>
      </w:r>
    </w:p>
    <w:p>
      <w:pPr>
        <w:spacing w:after="0" w:line="131" w:lineRule="exact"/>
        <w:rPr>
          <w:sz w:val="20"/>
          <w:szCs w:val="20"/>
          <w:color w:val="auto"/>
        </w:rPr>
      </w:pPr>
    </w:p>
    <w:p>
      <w:pPr>
        <w:jc w:val="both"/>
        <w:ind w:left="960"/>
        <w:spacing w:after="0" w:line="293" w:lineRule="auto"/>
        <w:rPr>
          <w:sz w:val="20"/>
          <w:szCs w:val="20"/>
          <w:color w:val="auto"/>
        </w:rPr>
      </w:pPr>
      <w:r>
        <w:rPr>
          <w:rFonts w:ascii="Arial" w:cs="Arial" w:eastAsia="Arial" w:hAnsi="Arial"/>
          <w:sz w:val="18"/>
          <w:szCs w:val="18"/>
          <w:color w:val="auto"/>
        </w:rPr>
        <w:t>In the event of any liquidation, dissolution or winding up of P10 Intermediate, the preferred shareholders have legal rights after the debt holders, but before the notes payable to sellers and common equity holders.</w:t>
      </w:r>
    </w:p>
    <w:p>
      <w:pPr>
        <w:spacing w:after="0" w:line="62" w:lineRule="exact"/>
        <w:rPr>
          <w:sz w:val="20"/>
          <w:szCs w:val="20"/>
          <w:color w:val="auto"/>
        </w:rPr>
      </w:pPr>
    </w:p>
    <w:p>
      <w:pPr>
        <w:jc w:val="both"/>
        <w:ind w:left="960"/>
        <w:spacing w:after="0" w:line="266" w:lineRule="auto"/>
        <w:rPr>
          <w:sz w:val="20"/>
          <w:szCs w:val="20"/>
          <w:color w:val="auto"/>
        </w:rPr>
      </w:pPr>
      <w:r>
        <w:rPr>
          <w:rFonts w:ascii="Arial" w:cs="Arial" w:eastAsia="Arial" w:hAnsi="Arial"/>
          <w:sz w:val="18"/>
          <w:szCs w:val="18"/>
          <w:color w:val="auto"/>
        </w:rPr>
        <w:t>Except for certain additional rights granted to the Series B preferred shareholder, each preferred shareholder has a number of votes equal to the number of shares they hold. The voting rights are identical to the common shareholders.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32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each individual series and any additional features they have: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P10 Intermediate issued to the Five Points sellers 6,700,000 shares of Series A redeemable convertible preferred shares at a price of $3.00 per share for an aggregate issuance price of $20.1 million. These shares were a part of the purchase consideration in the acquisition of Five Points described in Note 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w:t>
      </w:r>
    </w:p>
    <w:p>
      <w:pPr>
        <w:spacing w:after="0" w:line="15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P10 Intermediate issued to Keystone Capital XXX, LLC (“Keystone”) 10,000,000 shares of Series B redeemable convertible preferred shares at a price of $3.00 per share for an aggregate issuance price of $30.0 million. The shares were issued in exchange for cash. The cash received was used as part of the cash consideration in the acquisition of Five Points described in Note 3.</w:t>
      </w:r>
    </w:p>
    <w:p>
      <w:pPr>
        <w:spacing w:after="0" w:line="183"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In addition to the rights listed above, the Series B preferred shares also feature a call option that gives the shareholder the ability to purchase up to an additional 5,000,000 Series B preferred shares at an exercise price of $3 per share; provided the option may only be used for funding the cash purchase price of an acquisition and any related fees. The option may only be exercised with respect to a definitive agreement related to an acquisition and the option expires on the second anniversary of the Five Points acquisition close date.</w:t>
      </w:r>
    </w:p>
    <w:p>
      <w:pPr>
        <w:spacing w:after="0" w:line="185"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On October 2, 2020, in connection with the acquisition of TrueBridge, Keystone exercised its option purchasing 1,333,333 shares of Series B redeemable convertible preferred shares at a price of $3.00 per share for an aggregate issuance price of $4.0 million.</w:t>
      </w:r>
    </w:p>
    <w:p>
      <w:pPr>
        <w:spacing w:after="0" w:line="17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On December 14, 2020, in connection with the acquisition of Enhanced, Keystone exercised its option purchasing 3,333,334 shares of Series B redeemable convertible preferred shares at a price of $3.00 per share for an aggregate issuance price of $10.0 million.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Series B preferred shareholder is also granted additional protective rights with respect to certain matters.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w:t>
      </w:r>
    </w:p>
    <w:p>
      <w:pPr>
        <w:spacing w:after="0" w:line="158"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P10 Intermediate issued to the holders of the TAB Payments 3,337,470 shares of Series C redeemable convertible preferred shares at a price of $3.00 per share for an aggregate issuance price of $10.0 million. The shares were issued in a non-cash exchange for a portion of the TAB Payments held. The gross value of the TAB payments received was $16.8 million.</w:t>
      </w:r>
    </w:p>
    <w:p>
      <w:pPr>
        <w:spacing w:after="0" w:line="183"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7"/>
          <w:szCs w:val="17"/>
          <w:color w:val="auto"/>
        </w:rPr>
        <w:t>Additionally, P10 Intermediate issued to certain key members of Five Points management 333,333 shares of Series C redeemable convertible preferred shares at a price of $3.00 per share for an aggregate issuance price of $1.0 million. The shares were issued in exchange for cash.</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P10 Intermediate issued to the TrueBridge sellers 28,590,910 shares of Series D redeemable convertible preferred shares at a price of $3.30 per share for an aggregate issuance price of $94.4 million. These shares were a part of the purchase consideration in the acquisition of TrueBridge described in Note 3.</w:t>
      </w:r>
    </w:p>
    <w:p>
      <w:pPr>
        <w:spacing w:after="0" w:line="183"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color w:val="auto"/>
        </w:rPr>
        <w:t>Additionally, on December 14, 2020, P10 Intermediate issued to certain TrueBridge employees 285,714 shares of Series D redeemable convertible preferred shares at a price of $3.50 per share for an aggregate issuance price of $1.0 million. The shares were issued in exchange for cash.</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Series D preferred shareholders are also granted additional protective rights with respect to certain matters.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14" w:lineRule="exact"/>
        <w:rPr>
          <w:sz w:val="20"/>
          <w:szCs w:val="20"/>
          <w:color w:val="auto"/>
        </w:rPr>
      </w:pPr>
    </w:p>
    <w:p>
      <w:pPr>
        <w:jc w:val="both"/>
        <w:ind w:firstLine="509"/>
        <w:spacing w:after="0" w:line="359" w:lineRule="auto"/>
        <w:rPr>
          <w:sz w:val="20"/>
          <w:szCs w:val="20"/>
          <w:color w:val="auto"/>
        </w:rPr>
      </w:pPr>
      <w:r>
        <w:rPr>
          <w:rFonts w:ascii="Arial" w:cs="Arial" w:eastAsia="Arial" w:hAnsi="Arial"/>
          <w:sz w:val="16"/>
          <w:szCs w:val="16"/>
          <w:color w:val="auto"/>
        </w:rPr>
        <w:t>P10 Intermediate issued to the Enhanced sellers 7,686,925 shares of Series E redeemable convertible preferred shares at a price of $3.50 per share for an aggregate issuance price of $26.9 million. These shares were a part of the purchase consideration in the acquisition of Enhanced described in Note 3.</w:t>
      </w:r>
    </w:p>
    <w:p>
      <w:pPr>
        <w:spacing w:after="0" w:line="125"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7"/>
          <w:szCs w:val="17"/>
          <w:color w:val="auto"/>
        </w:rPr>
        <w:t>Additionally, P10 Intermediate issued to certain key members of Enhanced management 100,714 shares of Series E redeemable convertible preferred shares at a price of $3.50 per share for an aggregate issuance price of $0.4 million. The shares were issued in exchange for cash.</w:t>
      </w:r>
    </w:p>
    <w:p>
      <w:pPr>
        <w:spacing w:after="0" w:line="147" w:lineRule="exact"/>
        <w:rPr>
          <w:sz w:val="20"/>
          <w:szCs w:val="20"/>
          <w:color w:val="auto"/>
        </w:rPr>
      </w:pPr>
    </w:p>
    <w:p>
      <w:pPr>
        <w:jc w:val="both"/>
        <w:ind w:firstLine="509"/>
        <w:spacing w:after="0" w:line="314" w:lineRule="auto"/>
        <w:rPr>
          <w:sz w:val="20"/>
          <w:szCs w:val="20"/>
          <w:color w:val="auto"/>
        </w:rPr>
      </w:pPr>
      <w:r>
        <w:rPr>
          <w:rFonts w:ascii="Arial" w:cs="Arial" w:eastAsia="Arial" w:hAnsi="Arial"/>
          <w:sz w:val="16"/>
          <w:szCs w:val="16"/>
          <w:color w:val="auto"/>
        </w:rPr>
        <w:t>Since the preferred shares are redeemable at the option of the holder and the redemption is not solely in the control of the Company, the preferred shares are accounted for as a redeemable noncontrolling interest and classified within temporary equity in the Company’s Consolidated Balance Sheets. The redeemable noncontrolling interest was initially measured at the fair value of the consideration paid. Redemption was not deemed probable by the Company at September 30, 2021 and therefore no subsequent measurement or adjustment was deemed necessary. Dividends on the preferred shares are recognized as preferred dividends attributable to redeemable non-controlling interest in our Consolidated Statements of Operations.</w:t>
      </w:r>
    </w:p>
    <w:p>
      <w:pPr>
        <w:spacing w:after="0" w:line="160"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w w:val="95"/>
              </w:rPr>
              <w:t>The table below presents the reconciliation of changes in redeemable noncontrolling interests: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4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2"/>
                <w:szCs w:val="22"/>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2020</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198,439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740" w:type="dxa"/>
            <w:vAlign w:val="bottom"/>
          </w:tcPr>
          <w:p>
            <w:pPr>
              <w:spacing w:after="0"/>
              <w:rPr>
                <w:sz w:val="21"/>
                <w:szCs w:val="21"/>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Issuance of subsidiary preferred stock</w:t>
            </w:r>
          </w:p>
        </w:tc>
        <w:tc>
          <w:tcPr>
            <w:tcW w:w="360" w:type="dxa"/>
            <w:vAlign w:val="bottom"/>
          </w:tcPr>
          <w:p>
            <w:pPr>
              <w:spacing w:after="0"/>
              <w:rPr>
                <w:sz w:val="21"/>
                <w:szCs w:val="2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1740" w:type="dxa"/>
            <w:vAlign w:val="bottom"/>
          </w:tcPr>
          <w:p>
            <w:pPr>
              <w:spacing w:after="0"/>
              <w:rPr>
                <w:sz w:val="21"/>
                <w:szCs w:val="21"/>
                <w:color w:val="auto"/>
              </w:rPr>
            </w:pPr>
          </w:p>
        </w:tc>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Distribution of preferred dividends attributable to</w:t>
            </w:r>
          </w:p>
        </w:tc>
        <w:tc>
          <w:tcPr>
            <w:tcW w:w="3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1740" w:type="dxa"/>
            <w:vAlign w:val="bottom"/>
          </w:tcPr>
          <w:p>
            <w:pPr>
              <w:spacing w:after="0"/>
              <w:rPr>
                <w:sz w:val="21"/>
                <w:szCs w:val="21"/>
                <w:color w:val="auto"/>
              </w:rPr>
            </w:pPr>
          </w:p>
        </w:tc>
        <w:tc>
          <w:tcPr>
            <w:tcW w:w="5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redeemable non-controlling interest</w:t>
            </w:r>
          </w:p>
        </w:tc>
        <w:tc>
          <w:tcPr>
            <w:tcW w:w="3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(720 )</w:t>
            </w:r>
          </w:p>
        </w:tc>
        <w:tc>
          <w:tcPr>
            <w:tcW w:w="0" w:type="dxa"/>
            <w:vAlign w:val="bottom"/>
          </w:tcPr>
          <w:p>
            <w:pPr>
              <w:spacing w:after="0"/>
              <w:rPr>
                <w:sz w:val="1"/>
                <w:szCs w:val="1"/>
                <w:color w:val="auto"/>
              </w:rPr>
            </w:pPr>
          </w:p>
        </w:tc>
      </w:tr>
      <w:tr>
        <w:trPr>
          <w:trHeight w:val="242"/>
        </w:trPr>
        <w:tc>
          <w:tcPr>
            <w:tcW w:w="1740" w:type="dxa"/>
            <w:vAlign w:val="bottom"/>
          </w:tcPr>
          <w:p>
            <w:pPr>
              <w:spacing w:after="0"/>
              <w:rPr>
                <w:sz w:val="21"/>
                <w:szCs w:val="21"/>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Preferred dividends attributable to redeemable</w:t>
            </w:r>
          </w:p>
        </w:tc>
        <w:tc>
          <w:tcPr>
            <w:tcW w:w="36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740" w:type="dxa"/>
            <w:vAlign w:val="bottom"/>
          </w:tcPr>
          <w:p>
            <w:pPr>
              <w:spacing w:after="0"/>
              <w:rPr>
                <w:sz w:val="24"/>
                <w:szCs w:val="24"/>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2021</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199,202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9"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Cumulative dividends in arrears on the preferred stock were $1.5 million and $0.7 million as of September 30, 2021 and December 31, 2020,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35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Company has evaluated subsequent events through November 22, 2021, the date on which these financial statements were available to be issued. There were no significant subsequent events other than the matters described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w:t>
      </w:r>
    </w:p>
    <w:p>
      <w:pPr>
        <w:spacing w:after="0" w:line="35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October 20, 2021, in connection with the IPO, the Company completed a reorganization and restructure. P10 adopted and filed an amended and restated certificate of incorporation to, among other things, provide for Class A common stock and Class B common stock. All of the existing equity of P10 Holdings, Inc. and its consolidated subsidiaries, including the convertible preferred units of P10 Intermediate, were converted into Class B common stock of P10 on a 1-for-1 basis, while P10 Holdings, Inc. became a wholly owned subsidiary of P10.</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Redeemable Noncontrolling Interest</w:t>
      </w:r>
    </w:p>
    <w:p>
      <w:pPr>
        <w:spacing w:after="0" w:line="35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On October 20, 2021, in connection with the IPO and the reorganization, the redeemable noncontrolling interest was converted into Class B common stock of P10. The conversion occurred immediately prior to the reorganization.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35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On October 20, 2021, P10 announced the pricing of its initial public offering of 20,000,000 shares of its Class A common stock at a price to the public of $12.00 per share. Of the offered shares, 11,500,000 shares of Class A common stock were being sold by P10 and 8,500,000 shares of Class B common stock were being sold by certain stockholders of P10. Shares that were sold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P10,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 dollar amounts stated in thousands)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by the stockholders were converted to Class A shares upon sale. Trading began on the New York Stock Exchange on October 21, 2021, under the ticker symbol “PX”. The offering closed on October 25, 2021. The proceeds to the Company from the IPO, before expenses, were approximately $138.0 million. Proceeds were primarily used to repay debt obligations of the Company.</w:t>
      </w:r>
    </w:p>
    <w:p>
      <w:pPr>
        <w:spacing w:after="0" w:line="29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P10 also underwent a reverse stock split of P10's common stock on a 0.7-for-1 basis pursuant to which every outstanding share of common stock decreased to 0.7 shares. The number of shares have been retrospectively adjusted within these consolidated financial statements.</w:t>
      </w:r>
    </w:p>
    <w:p>
      <w:pPr>
        <w:spacing w:after="0" w:line="27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Company has reviewed the state and federal income tax impacts of the IPO transaction and related restructuring. We have determined that these transactions do not result in a material change to our 2021 effective tax rate or our ability to fully utilize existing net operating losses that existed as of the date of the IPO.</w:t>
      </w:r>
    </w:p>
    <w:p>
      <w:pPr>
        <w:spacing w:after="0" w:line="29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As part of the reorganization, P10 assumed the employee benefit plan, incentive compensation plan, and other similar plans. Additionally, the shares authorized under the Plan were increased from 1,000,000 to 3,000,000.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Repayment of Debt Obligations</w:t>
      </w:r>
    </w:p>
    <w:p>
      <w:pPr>
        <w:spacing w:after="0" w:line="35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On October 28, 2021, the Company made a payment of $1.9 million for the 2017 Seller Notes, $0.9 million for the 2018 Seller Notes, and $9.6 million for the TAB payments.</w:t>
      </w:r>
    </w:p>
    <w:p>
      <w:pPr>
        <w:spacing w:after="0" w:line="27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On October 29, 2021, the Company made a payment for its Facility with HPS of $88.6 million, which included an optional repayment of $86.8 million, required prepayment of $1.2 million, and an interest payment of $0.6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w:t>
      </w:r>
    </w:p>
    <w:p>
      <w:pPr>
        <w:spacing w:after="0" w:line="35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On November 18, 2021, pursuant to the underwriting agreement, the underwriters elected to fully exercise their option to purchase an additional 3,000,000 shares of Class A common stock for $12.00 per share, less underwriting discounts and commissions. These shares are being sold by certain stockholders of P10 and P10 will not receive any proceeds from the sale of these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3"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i w:val="1"/>
          <w:iCs w:val="1"/>
          <w:color w:val="auto"/>
        </w:rPr>
        <w:t>The following discussion and analysis relates to the activities and operations of P10. As used in this section, “P10,” the “Company”, “we” or “our” includes P10 and only its consolidated subsidiaries. The following information should be read in conjunction with our selected financial and operating data and the accompanying consolidated financial statements and related notes contained elsewhere in this quarterly report on Form 10-Q, and our audited financial statements, the related notes, and Management's Discussion and Analysis of Financial Condition and Results of Operations included in our prospectus dated October 20, 2021 , filed with the U.S. Securities and Exchange Commission ("SEC") on October 22, 2021. Our historical results discussed below, and the way we evaluate our results, may differ significantly from the descriptions of our business and key metrics used elsewhere in this quarterly report on Form 10-Q due to the effects of acquisitions which occurred during the year ended December 31, 2020, but may not have had a material impact on our statements of operations due to the limited period of time which they were included in our consolidated results. The below historical results also do not include any activities or positions of P10, Inc., or give effect to any of the reorganization activities which have occurred in connection with the Initial Public Offering discussed in the subsequent events.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Overview</w:t>
      </w:r>
    </w:p>
    <w:p>
      <w:pPr>
        <w:spacing w:after="0" w:line="243"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spacing w:after="0" w:line="193" w:lineRule="exact"/>
        <w:rPr>
          <w:sz w:val="20"/>
          <w:szCs w:val="20"/>
          <w:color w:val="auto"/>
        </w:rPr>
      </w:pPr>
    </w:p>
    <w:p>
      <w:pPr>
        <w:jc w:val="both"/>
        <w:ind w:firstLine="509"/>
        <w:spacing w:after="0" w:line="305" w:lineRule="auto"/>
        <w:rPr>
          <w:sz w:val="20"/>
          <w:szCs w:val="20"/>
          <w:color w:val="auto"/>
        </w:rPr>
      </w:pPr>
      <w:r>
        <w:rPr>
          <w:rFonts w:ascii="Arial" w:cs="Arial" w:eastAsia="Arial" w:hAnsi="Arial"/>
          <w:sz w:val="16"/>
          <w:szCs w:val="16"/>
          <w:color w:val="auto"/>
        </w:rPr>
        <w:t>During the year ended December 31, 2020, we completed several acquisitions to expand the private market solutions available to our investors. On April 1, 2020, we completed our acquisition of Five Points to serve as our Private Credit solution (which also offers certain private equity solutions). Five Points’ results are included in our Consolidated Statements of Operations for the period from April 1, 2020 through December 31, 2020 and for the nine months ended September 30, 2021. On October 2, 2020, we completed our acquisition of TrueBridge Capital Partners, LLC (TrueBridge) to serve as our Venture Capital solution. TrueBridge’s results are included in our Consolidated Statements of Operations for the period from October 2, 2020 through December 31, 2020 and for the nine months ended September 30, 2021. On December 14, 2020, we completed our acquisition of 100% of the equity interest in ECG to serve as our Impact Investing solution. ECG’s results are included in our Consolidated Statements of Operations for the period from December 14, 2020 through December 31, 2020 and for the nine months ended September 30, 2021. These acquisitions were accounted for as business combinations, and these entities are reported as consolidated subsidiaries of P10. Additionally, on December 14, 2020, we completed our acquisition of approximately 49% of the voting interests and 50% of the economic interests in ECP, which is a related party of ECG. As we only acquired a non-controlling interest in ECP, it is reported as an equity method investment in accordance with ASC 323.</w:t>
      </w:r>
    </w:p>
    <w:p>
      <w:pPr>
        <w:spacing w:after="0" w:line="169"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On September 30, 2021, we completed the acquisitions of Hark and Bonaccord to further expand on solutions available to our investors. The effect of these acquisitions is reflected in our Consolidated Balance Sheet at September 30, 2021. These acquisitions were accounted for as business combinations and are reported as consolidated subsidiaries of P10.</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2021, our private market solutions were comprised of the following:</w:t>
      </w:r>
    </w:p>
    <w:p>
      <w:pPr>
        <w:spacing w:after="0" w:line="131" w:lineRule="exact"/>
        <w:rPr>
          <w:sz w:val="20"/>
          <w:szCs w:val="20"/>
          <w:color w:val="auto"/>
        </w:rPr>
      </w:pPr>
    </w:p>
    <w:p>
      <w:pPr>
        <w:jc w:val="both"/>
        <w:ind w:left="960"/>
        <w:spacing w:after="0" w:line="299" w:lineRule="auto"/>
        <w:rPr>
          <w:sz w:val="20"/>
          <w:szCs w:val="20"/>
          <w:color w:val="auto"/>
        </w:rPr>
      </w:pPr>
      <w:r>
        <w:rPr>
          <w:rFonts w:ascii="Arial" w:cs="Arial" w:eastAsia="Arial" w:hAnsi="Arial"/>
          <w:sz w:val="16"/>
          <w:szCs w:val="16"/>
          <w:i w:val="1"/>
          <w:iCs w:val="1"/>
          <w:color w:val="auto"/>
        </w:rPr>
        <w:t>Private Equity Solutions (PES)</w:t>
      </w:r>
      <w:r>
        <w:rPr>
          <w:rFonts w:ascii="Arial" w:cs="Arial" w:eastAsia="Arial" w:hAnsi="Arial"/>
          <w:sz w:val="16"/>
          <w:szCs w:val="16"/>
          <w:color w:val="auto"/>
        </w:rPr>
        <w:t>. Under PES, we make direct and indirect investments in middle and lower- middle market private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across North America. PES also makes minority equity investments in a diversified portfolio of mid-sized managers across private equity, private credit and real assets. The PES investment team, which is comprised of 40 investment professionals with an average of 24+ years of experience, has deep and long-standing investor and fund manager relationships in the middle and lower-middle market which it has cultivated over the past 20 years, including over 1,800+ investors, 165+ fund managers, 375+ private market funds and 1,800+ portfolio companies. We have 44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2,500 investment firms, 4,000 funds, 25,000 individual</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ind w:left="960"/>
        <w:spacing w:after="0"/>
        <w:rPr>
          <w:sz w:val="20"/>
          <w:szCs w:val="20"/>
          <w:color w:val="auto"/>
        </w:rPr>
      </w:pPr>
      <w:r>
        <w:rPr>
          <w:rFonts w:ascii="Arial" w:cs="Arial" w:eastAsia="Arial" w:hAnsi="Arial"/>
          <w:sz w:val="17"/>
          <w:szCs w:val="17"/>
          <w:color w:val="auto"/>
        </w:rPr>
        <w:t>transactions, 30,000 private companies and 175,000 financial metrics. As of September 30, 2021, PES managed $9.3 billion of FPAUM.</w:t>
      </w:r>
    </w:p>
    <w:p>
      <w:pPr>
        <w:spacing w:after="0" w:line="142" w:lineRule="exact"/>
        <w:rPr>
          <w:sz w:val="20"/>
          <w:szCs w:val="20"/>
          <w:color w:val="auto"/>
        </w:rPr>
      </w:pPr>
    </w:p>
    <w:p>
      <w:pPr>
        <w:jc w:val="both"/>
        <w:ind w:left="960"/>
        <w:spacing w:after="0" w:line="287" w:lineRule="auto"/>
        <w:rPr>
          <w:sz w:val="20"/>
          <w:szCs w:val="20"/>
          <w:color w:val="auto"/>
        </w:rPr>
      </w:pPr>
      <w:r>
        <w:rPr>
          <w:rFonts w:ascii="Arial" w:cs="Arial" w:eastAsia="Arial" w:hAnsi="Arial"/>
          <w:sz w:val="17"/>
          <w:szCs w:val="17"/>
          <w:i w:val="1"/>
          <w:iCs w:val="1"/>
          <w:color w:val="auto"/>
        </w:rPr>
        <w:t xml:space="preserve">Venture Capital Solutions (VCS). </w:t>
      </w:r>
      <w:r>
        <w:rPr>
          <w:rFonts w:ascii="Arial" w:cs="Arial" w:eastAsia="Arial" w:hAnsi="Arial"/>
          <w:sz w:val="17"/>
          <w:szCs w:val="17"/>
          <w:color w:val="auto"/>
        </w:rPr>
        <w:t>Under VCS, we make investments in venture capital funds across North America and specialize in targeting</w:t>
      </w:r>
      <w:r>
        <w:rPr>
          <w:rFonts w:ascii="Arial" w:cs="Arial" w:eastAsia="Arial" w:hAnsi="Arial"/>
          <w:sz w:val="17"/>
          <w:szCs w:val="17"/>
          <w:i w:val="1"/>
          <w:iCs w:val="1"/>
          <w:color w:val="auto"/>
        </w:rPr>
        <w:t xml:space="preserve"> </w:t>
      </w:r>
      <w:r>
        <w:rPr>
          <w:rFonts w:ascii="Arial" w:cs="Arial" w:eastAsia="Arial" w:hAnsi="Arial"/>
          <w:sz w:val="17"/>
          <w:szCs w:val="17"/>
          <w:color w:val="auto"/>
        </w:rPr>
        <w:t>high-performing, access-constrained opportunities. The VCS investment team, which is comprised of 14 investment professionals with an average of 18+ years of experience, has deep and long-standing investor and fund manager relationships in the venture market which it has cultivated over the past 14+ years, including over 540+ investors, 60+ fund managers, 55 direct investments, 230+ private market funds and 6,500+ portfolio companies. We have 11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September 30, 2021, VCS managed $4.2 billion of FPAUM.</w:t>
      </w:r>
    </w:p>
    <w:p>
      <w:pPr>
        <w:spacing w:after="0" w:line="74" w:lineRule="exact"/>
        <w:rPr>
          <w:sz w:val="20"/>
          <w:szCs w:val="20"/>
          <w:color w:val="auto"/>
        </w:rPr>
      </w:pPr>
    </w:p>
    <w:p>
      <w:pPr>
        <w:jc w:val="both"/>
        <w:ind w:left="960"/>
        <w:spacing w:after="0" w:line="287" w:lineRule="auto"/>
        <w:rPr>
          <w:sz w:val="20"/>
          <w:szCs w:val="20"/>
          <w:color w:val="auto"/>
        </w:rPr>
      </w:pPr>
      <w:r>
        <w:rPr>
          <w:rFonts w:ascii="Arial" w:cs="Arial" w:eastAsia="Arial" w:hAnsi="Arial"/>
          <w:sz w:val="17"/>
          <w:szCs w:val="17"/>
          <w:i w:val="1"/>
          <w:iCs w:val="1"/>
          <w:color w:val="auto"/>
        </w:rPr>
        <w:t xml:space="preserve">Impact Investing Solutions (IIS). </w:t>
      </w:r>
      <w:r>
        <w:rPr>
          <w:rFonts w:ascii="Arial" w:cs="Arial" w:eastAsia="Arial" w:hAnsi="Arial"/>
          <w:sz w:val="17"/>
          <w:szCs w:val="17"/>
          <w:color w:val="auto"/>
        </w:rPr>
        <w:t>Under IIS, we make equity, tax equity, and debt investments in impact initiatives across North America. IIS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targets investments in renewable energy development and historic building renovation projects, as well as providing capital to small businesses that are women or minority owned or operating in underserved communities. The IIS investment team, which is comprised of 12 investment professionals with an average of 21+ years of experience, has deep and long-standing relationships in the impact market which it has cultivated over the past 20 years, including deploying capital on behalf of over 81 investors. We currently have 31 active investment vehicles. We are differentiated in both the breadth of impact areas served, the type of capital deployed and the duration of our track record. We have collectively deployed over $3.0 billion into 600+ projects, supporting 380+ businesses across 36 states since 2000, including $550 million capital deployed in impact credit and 535 million KWh of renewable energy produced through 2019. As of September 30, 2021, IIS managed $1.7 billion of FPAUM</w:t>
      </w:r>
      <w:r>
        <w:rPr>
          <w:rFonts w:ascii="Arial" w:cs="Arial" w:eastAsia="Arial" w:hAnsi="Arial"/>
          <w:sz w:val="17"/>
          <w:szCs w:val="17"/>
          <w:i w:val="1"/>
          <w:iCs w:val="1"/>
          <w:color w:val="auto"/>
        </w:rPr>
        <w:t>.</w:t>
      </w:r>
    </w:p>
    <w:p>
      <w:pPr>
        <w:spacing w:after="0" w:line="70" w:lineRule="exact"/>
        <w:rPr>
          <w:sz w:val="20"/>
          <w:szCs w:val="20"/>
          <w:color w:val="auto"/>
        </w:rPr>
      </w:pPr>
    </w:p>
    <w:p>
      <w:pPr>
        <w:jc w:val="both"/>
        <w:ind w:left="960"/>
        <w:spacing w:after="0" w:line="306" w:lineRule="auto"/>
        <w:rPr>
          <w:sz w:val="20"/>
          <w:szCs w:val="20"/>
          <w:color w:val="auto"/>
        </w:rPr>
      </w:pPr>
      <w:r>
        <w:rPr>
          <w:rFonts w:ascii="Arial" w:cs="Arial" w:eastAsia="Arial" w:hAnsi="Arial"/>
          <w:sz w:val="16"/>
          <w:szCs w:val="16"/>
          <w:i w:val="1"/>
          <w:iCs w:val="1"/>
          <w:color w:val="auto"/>
        </w:rPr>
        <w:t xml:space="preserve">Private Credit Solutions (PCS). </w:t>
      </w:r>
      <w:r>
        <w:rPr>
          <w:rFonts w:ascii="Arial" w:cs="Arial" w:eastAsia="Arial" w:hAnsi="Arial"/>
          <w:sz w:val="16"/>
          <w:szCs w:val="16"/>
          <w:color w:val="auto"/>
        </w:rPr>
        <w:t>Under PCS, we primarily make debt investments across North America, targeting lower middle market</w:t>
      </w:r>
      <w:r>
        <w:rPr>
          <w:rFonts w:ascii="Arial" w:cs="Arial" w:eastAsia="Arial" w:hAnsi="Arial"/>
          <w:sz w:val="16"/>
          <w:szCs w:val="16"/>
          <w:i w:val="1"/>
          <w:iCs w:val="1"/>
          <w:color w:val="auto"/>
        </w:rPr>
        <w:t xml:space="preserve"> </w:t>
      </w:r>
      <w:r>
        <w:rPr>
          <w:rFonts w:ascii="Arial" w:cs="Arial" w:eastAsia="Arial" w:hAnsi="Arial"/>
          <w:sz w:val="16"/>
          <w:szCs w:val="16"/>
          <w:color w:val="auto"/>
        </w:rPr>
        <w:t>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25 investment professionals with an average of 21+ years of experience, has deep and long-standing relationships in the private credit market which it has cultivated over the past 22 years, including 180+ investors across 7 active investment vehicles and 64 portfolio companies with over $1.5+ billion capital deployed. Our PCS is differentiated by our relationship-driven sourcing approach providing capital solutions for growth-oriented companies. We are further synergistically strengthened by our PES network of fund managers, characterized by more than 575 credit opportunities annually. We currently maintain 45+ active sponsor relationships and have 60+ platform investments. As of September 30, 2021, PCS managed $1.0 billion of FPAUM.</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Sources of Revenue</w:t>
      </w:r>
    </w:p>
    <w:p>
      <w:pPr>
        <w:spacing w:after="0" w:line="24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spacing w:after="0" w:line="75" w:lineRule="exact"/>
        <w:rPr>
          <w:sz w:val="20"/>
          <w:szCs w:val="20"/>
          <w:color w:val="auto"/>
        </w:rPr>
      </w:pPr>
    </w:p>
    <w:p>
      <w:pPr>
        <w:jc w:val="both"/>
        <w:ind w:left="960"/>
        <w:spacing w:after="0" w:line="308" w:lineRule="auto"/>
        <w:rPr>
          <w:sz w:val="20"/>
          <w:szCs w:val="20"/>
          <w:color w:val="auto"/>
        </w:rPr>
      </w:pPr>
      <w:r>
        <w:rPr>
          <w:rFonts w:ascii="Arial" w:cs="Arial" w:eastAsia="Arial" w:hAnsi="Arial"/>
          <w:sz w:val="16"/>
          <w:szCs w:val="16"/>
          <w:i w:val="1"/>
          <w:iCs w:val="1"/>
          <w:color w:val="auto"/>
        </w:rPr>
        <w:t xml:space="preserve">Primary Investment Funds. </w:t>
      </w:r>
      <w:r>
        <w:rPr>
          <w:rFonts w:ascii="Arial" w:cs="Arial" w:eastAsia="Arial" w:hAnsi="Arial"/>
          <w:sz w:val="16"/>
          <w:szCs w:val="16"/>
          <w:color w:val="auto"/>
        </w:rPr>
        <w:t>Primary investment funds refer to investment vehicles which target investments in new private markets funds,</w:t>
      </w:r>
      <w:r>
        <w:rPr>
          <w:rFonts w:ascii="Arial" w:cs="Arial" w:eastAsia="Arial" w:hAnsi="Arial"/>
          <w:sz w:val="16"/>
          <w:szCs w:val="16"/>
          <w:i w:val="1"/>
          <w:iCs w:val="1"/>
          <w:color w:val="auto"/>
        </w:rPr>
        <w:t xml:space="preserve"> </w:t>
      </w:r>
      <w:r>
        <w:rPr>
          <w:rFonts w:ascii="Arial" w:cs="Arial" w:eastAsia="Arial" w:hAnsi="Arial"/>
          <w:sz w:val="16"/>
          <w:szCs w:val="16"/>
          <w:color w:val="auto"/>
        </w:rPr>
        <w:t>which in turn invest directly in portfolio companies. P10’s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$10.1 billion of our FPAUM as of September 30, 2021.</w:t>
      </w:r>
    </w:p>
    <w:p>
      <w:pPr>
        <w:spacing w:after="0" w:line="55" w:lineRule="exact"/>
        <w:rPr>
          <w:sz w:val="20"/>
          <w:szCs w:val="20"/>
          <w:color w:val="auto"/>
        </w:rPr>
      </w:pPr>
    </w:p>
    <w:p>
      <w:pPr>
        <w:jc w:val="both"/>
        <w:ind w:left="960"/>
        <w:spacing w:after="0" w:line="266" w:lineRule="auto"/>
        <w:rPr>
          <w:sz w:val="20"/>
          <w:szCs w:val="20"/>
          <w:color w:val="auto"/>
        </w:rPr>
      </w:pPr>
      <w:r>
        <w:rPr>
          <w:rFonts w:ascii="Arial" w:cs="Arial" w:eastAsia="Arial" w:hAnsi="Arial"/>
          <w:sz w:val="18"/>
          <w:szCs w:val="18"/>
          <w:i w:val="1"/>
          <w:iCs w:val="1"/>
          <w:color w:val="auto"/>
        </w:rPr>
        <w:t xml:space="preserve">Direct and Co-Investment Funds. </w:t>
      </w:r>
      <w:r>
        <w:rPr>
          <w:rFonts w:ascii="Arial" w:cs="Arial" w:eastAsia="Arial" w:hAnsi="Arial"/>
          <w:sz w:val="18"/>
          <w:szCs w:val="18"/>
          <w:color w:val="auto"/>
        </w:rPr>
        <w:t>Direct and co-investments involve acquiring an equity interest in or making a loan to an operating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property, alternative asset manager, or asset, typically by co-investing alongside an investment by a fund manager or by investing directly in the underlying asset. P10’s direct and co-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7" w:name="page38"/>
    <w:bookmarkEnd w:id="37"/>
    <w:p>
      <w:pPr>
        <w:jc w:val="both"/>
        <w:ind w:left="960"/>
        <w:spacing w:after="0" w:line="270" w:lineRule="auto"/>
        <w:rPr>
          <w:sz w:val="20"/>
          <w:szCs w:val="20"/>
          <w:color w:val="auto"/>
        </w:rPr>
      </w:pPr>
      <w:r>
        <w:rPr>
          <w:rFonts w:ascii="Arial" w:cs="Arial" w:eastAsia="Arial" w:hAnsi="Arial"/>
          <w:sz w:val="18"/>
          <w:szCs w:val="18"/>
          <w:color w:val="auto"/>
        </w:rPr>
        <w:t>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typically average ten to fifteen years, though they may vary by fund. We offer direct and co-investment funds across our private equity, venture capital, impact investing and private credit solutions. Often, the fees are structured such that they step down, or decrease, over the life of the fund. Our direct investing platform comprises approximately $5.0 billion of our FPAUM as of September 30, 2021.</w:t>
      </w:r>
    </w:p>
    <w:p>
      <w:pPr>
        <w:spacing w:after="0" w:line="85" w:lineRule="exact"/>
        <w:rPr>
          <w:sz w:val="20"/>
          <w:szCs w:val="20"/>
          <w:color w:val="auto"/>
        </w:rPr>
      </w:pPr>
    </w:p>
    <w:p>
      <w:pPr>
        <w:jc w:val="both"/>
        <w:ind w:left="960"/>
        <w:spacing w:after="0" w:line="309" w:lineRule="auto"/>
        <w:rPr>
          <w:sz w:val="20"/>
          <w:szCs w:val="20"/>
          <w:color w:val="auto"/>
        </w:rPr>
      </w:pPr>
      <w:r>
        <w:rPr>
          <w:rFonts w:ascii="Arial" w:cs="Arial" w:eastAsia="Arial" w:hAnsi="Arial"/>
          <w:sz w:val="16"/>
          <w:szCs w:val="16"/>
          <w:i w:val="1"/>
          <w:iCs w:val="1"/>
          <w:color w:val="auto"/>
        </w:rPr>
        <w:t xml:space="preserve">Secondaries. </w:t>
      </w:r>
      <w:r>
        <w:rPr>
          <w:rFonts w:ascii="Arial" w:cs="Arial" w:eastAsia="Arial" w:hAnsi="Arial"/>
          <w:sz w:val="16"/>
          <w:szCs w:val="16"/>
          <w:color w:val="auto"/>
        </w:rPr>
        <w:t>Secondaries refer to investments in existing private markets funds through the acquisition of an existing interest in a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fund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solutions. Often, the fees are structured such that they step down, or decrease, over the life of the fund. Our secondary funds comprise approximately $1.2 billion of our FPAUM as of September 30, 2021.</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Operating Segments</w:t>
      </w:r>
    </w:p>
    <w:p>
      <w:pPr>
        <w:spacing w:after="0" w:line="243"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We operate our business as a single operating segment, which is how our chief operating decision makers (our Co-Chief Executive Officers) evaluate financial performance and make decisions regarding the allocation of resources.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Trends Affecting Our Business</w:t>
      </w:r>
    </w:p>
    <w:p>
      <w:pPr>
        <w:spacing w:after="0" w:line="243"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Our business is affected by a variety of factors, including conditions in the financial markets and economic and political conditions in the North American markets which we operate, as well as changes in global economic conditions, including the effects of COVID-19 as described below, and regulatory or other governmental policies or actions can materially affect the values of the funds our platforms manage, as well as our ability to effectively manage investments. With interest rates remaining historically low, we continue to see investors turning towards alternative investments to achieve higher yields.</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continued growth of our business may be influenced by several factors, including the following market trends:</w:t>
      </w:r>
    </w:p>
    <w:p>
      <w:pPr>
        <w:spacing w:after="0" w:line="131" w:lineRule="exact"/>
        <w:rPr>
          <w:sz w:val="20"/>
          <w:szCs w:val="20"/>
          <w:color w:val="auto"/>
        </w:rPr>
      </w:pPr>
    </w:p>
    <w:p>
      <w:pPr>
        <w:jc w:val="both"/>
        <w:ind w:left="960"/>
        <w:spacing w:after="0" w:line="287" w:lineRule="auto"/>
        <w:rPr>
          <w:sz w:val="20"/>
          <w:szCs w:val="20"/>
          <w:color w:val="auto"/>
        </w:rPr>
      </w:pPr>
      <w:r>
        <w:rPr>
          <w:rFonts w:ascii="Arial" w:cs="Arial" w:eastAsia="Arial" w:hAnsi="Arial"/>
          <w:sz w:val="17"/>
          <w:szCs w:val="17"/>
          <w:i w:val="1"/>
          <w:iCs w:val="1"/>
          <w:color w:val="auto"/>
        </w:rPr>
        <w:t xml:space="preserve">Accelerating demand for private markets solutions. </w:t>
      </w:r>
      <w:r>
        <w:rPr>
          <w:rFonts w:ascii="Arial" w:cs="Arial" w:eastAsia="Arial" w:hAnsi="Arial"/>
          <w:sz w:val="17"/>
          <w:szCs w:val="17"/>
          <w:color w:val="auto"/>
        </w:rPr>
        <w:t>Our ability to attract new capital is dependent on investor demand for private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We believe the composition of public markets is fundamentally shifting and will drive growth in private markets investing as fewer companies elect to become public corporations, while more companies are choosing to stay privately held or return to being privately held. Furthermore, investors continue to increase their exposure to passive strategies in search for lower fee alternatives as relative returns in active public market strategies have compressed. We believe the continued move away from active public market strategies into passive strategies will support growth in private market solutions as investors seek higher risk-adjusted returns. Additional trends driving investor demand are 1) increasing long-term investor allocations towards private market asset classes, 2) legislation that allows retirement plans to add private equity vehicles as an investment option, and 3) the adoption of Environmental, Social, and Corporate Governance (“ESG”) and impact investing by the institutional and high net worth investor community.</w:t>
      </w:r>
    </w:p>
    <w:p>
      <w:pPr>
        <w:spacing w:after="0" w:line="70" w:lineRule="exact"/>
        <w:rPr>
          <w:sz w:val="20"/>
          <w:szCs w:val="20"/>
          <w:color w:val="auto"/>
        </w:rPr>
      </w:pPr>
    </w:p>
    <w:p>
      <w:pPr>
        <w:jc w:val="both"/>
        <w:ind w:left="960"/>
        <w:spacing w:after="0" w:line="299" w:lineRule="auto"/>
        <w:rPr>
          <w:sz w:val="20"/>
          <w:szCs w:val="20"/>
          <w:color w:val="auto"/>
        </w:rPr>
      </w:pPr>
      <w:r>
        <w:rPr>
          <w:rFonts w:ascii="Arial" w:cs="Arial" w:eastAsia="Arial" w:hAnsi="Arial"/>
          <w:sz w:val="16"/>
          <w:szCs w:val="16"/>
          <w:i w:val="1"/>
          <w:iCs w:val="1"/>
          <w:color w:val="auto"/>
        </w:rPr>
        <w:t xml:space="preserve">Favorable lower and lower-middle market dynamics, and data driven sourcing. </w:t>
      </w:r>
      <w:r>
        <w:rPr>
          <w:rFonts w:ascii="Arial" w:cs="Arial" w:eastAsia="Arial" w:hAnsi="Arial"/>
          <w:sz w:val="16"/>
          <w:szCs w:val="16"/>
          <w:color w:val="auto"/>
        </w:rPr>
        <w:t>We attribute our strong investment performance track record</w:t>
      </w:r>
      <w:r>
        <w:rPr>
          <w:rFonts w:ascii="Arial" w:cs="Arial" w:eastAsia="Arial" w:hAnsi="Arial"/>
          <w:sz w:val="16"/>
          <w:szCs w:val="16"/>
          <w:i w:val="1"/>
          <w:iCs w:val="1"/>
          <w:color w:val="auto"/>
        </w:rPr>
        <w:t xml:space="preserve"> </w:t>
      </w:r>
      <w:r>
        <w:rPr>
          <w:rFonts w:ascii="Arial" w:cs="Arial" w:eastAsia="Arial" w:hAnsi="Arial"/>
          <w:sz w:val="16"/>
          <w:szCs w:val="16"/>
          <w:color w:val="auto"/>
        </w:rPr>
        <w:t>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database, support our robust and disciplined sourcing criteria, which fuels our highly selective investment process. Our database stores and organizes a universe of managers and opportunities with powerful tracking metrics that we believe drive optimal portfolio management and monitoring and enable a portfolio grading system, as well as repository 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8" w:name="page39"/>
    <w:bookmarkEnd w:id="38"/>
    <w:p>
      <w:pPr>
        <w:jc w:val="both"/>
        <w:ind w:left="960"/>
        <w:spacing w:after="0" w:line="293" w:lineRule="auto"/>
        <w:rPr>
          <w:sz w:val="20"/>
          <w:szCs w:val="20"/>
          <w:color w:val="auto"/>
        </w:rPr>
      </w:pPr>
      <w:r>
        <w:rPr>
          <w:rFonts w:ascii="Arial" w:cs="Arial" w:eastAsia="Arial" w:hAnsi="Arial"/>
          <w:sz w:val="18"/>
          <w:szCs w:val="18"/>
          <w:color w:val="auto"/>
        </w:rPr>
        <w:t>investment evaluation scorecards. Our ability to maintain our data advantage is dependent on a number of factors, including our continued access to a broad set of private market information on an on-going basis.</w:t>
      </w:r>
    </w:p>
    <w:p>
      <w:pPr>
        <w:spacing w:after="0" w:line="62" w:lineRule="exact"/>
        <w:rPr>
          <w:sz w:val="20"/>
          <w:szCs w:val="20"/>
          <w:color w:val="auto"/>
        </w:rPr>
      </w:pPr>
    </w:p>
    <w:p>
      <w:pPr>
        <w:jc w:val="both"/>
        <w:ind w:left="960"/>
        <w:spacing w:after="0" w:line="304" w:lineRule="auto"/>
        <w:rPr>
          <w:sz w:val="20"/>
          <w:szCs w:val="20"/>
          <w:color w:val="auto"/>
        </w:rPr>
      </w:pPr>
      <w:r>
        <w:rPr>
          <w:rFonts w:ascii="Arial" w:cs="Arial" w:eastAsia="Arial" w:hAnsi="Arial"/>
          <w:sz w:val="16"/>
          <w:szCs w:val="16"/>
          <w:i w:val="1"/>
          <w:iCs w:val="1"/>
          <w:color w:val="auto"/>
        </w:rPr>
        <w:t xml:space="preserve">Expanding asset class solutions, broaden geographic reach and grow private markets network effect. </w:t>
      </w:r>
      <w:r>
        <w:rPr>
          <w:rFonts w:ascii="Arial" w:cs="Arial" w:eastAsia="Arial" w:hAnsi="Arial"/>
          <w:sz w:val="16"/>
          <w:szCs w:val="16"/>
          <w:color w:val="auto"/>
        </w:rPr>
        <w:t>Our ability to continue growing is</w:t>
      </w:r>
      <w:r>
        <w:rPr>
          <w:rFonts w:ascii="Arial" w:cs="Arial" w:eastAsia="Arial" w:hAnsi="Arial"/>
          <w:sz w:val="16"/>
          <w:szCs w:val="16"/>
          <w:i w:val="1"/>
          <w:iCs w:val="1"/>
          <w:color w:val="auto"/>
        </w:rPr>
        <w:t xml:space="preserve"> </w:t>
      </w:r>
      <w:r>
        <w:rPr>
          <w:rFonts w:ascii="Arial" w:cs="Arial" w:eastAsia="Arial" w:hAnsi="Arial"/>
          <w:sz w:val="16"/>
          <w:szCs w:val="16"/>
          <w:color w:val="auto"/>
        </w:rPr>
        <w:t>impacted by our scalability and ability to maximize investor relationships. The purview of private markets has meaningfully broadened over the last decade. As investors increase their allocations to private markets investments,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 Our scalable business model is well positioned to expand and grow our footprint as we develop our position within the private markets ecosystem to further leverage our synergistic solutions offering. We currently have a leading presence in North America, but believe that expanding our investor presence into international markets can be a significant growth driver for our business as investors continue to seek geographically diverse private market exposure. Further, expanding into additional asset class solutions will enable us to further enhance our integrated network effect across private markets by, among other benefits, fostering deeper manager relationships. We believe that the growing number of private markets focused fund managers increases the operational burden on investors and will lead to a greater reliance on highly trusted advisors to help investors navigate the complexity associated with multi- asset class manager selection.</w:t>
      </w:r>
    </w:p>
    <w:p>
      <w:pPr>
        <w:spacing w:after="0" w:line="65" w:lineRule="exact"/>
        <w:rPr>
          <w:sz w:val="20"/>
          <w:szCs w:val="20"/>
          <w:color w:val="auto"/>
        </w:rPr>
      </w:pPr>
    </w:p>
    <w:p>
      <w:pPr>
        <w:jc w:val="both"/>
        <w:ind w:left="960"/>
        <w:spacing w:after="0" w:line="275" w:lineRule="auto"/>
        <w:rPr>
          <w:sz w:val="20"/>
          <w:szCs w:val="20"/>
          <w:color w:val="auto"/>
        </w:rPr>
      </w:pPr>
      <w:r>
        <w:rPr>
          <w:rFonts w:ascii="Arial" w:cs="Arial" w:eastAsia="Arial" w:hAnsi="Arial"/>
          <w:sz w:val="18"/>
          <w:szCs w:val="18"/>
          <w:i w:val="1"/>
          <w:iCs w:val="1"/>
          <w:color w:val="auto"/>
        </w:rPr>
        <w:t xml:space="preserve">Increasing regulatory requirements and political uncertainty. </w:t>
      </w:r>
      <w:r>
        <w:rPr>
          <w:rFonts w:ascii="Arial" w:cs="Arial" w:eastAsia="Arial" w:hAnsi="Arial"/>
          <w:sz w:val="18"/>
          <w:szCs w:val="18"/>
          <w:color w:val="auto"/>
        </w:rPr>
        <w:t>The complex regulatory and tax environment could restrict our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us to increased compliance costs and administrative burdens, as well as restrictions on our business activities. There is additional uncertainty around potential legal, regulatory, and tax changes, which may impact our profitability or impact our ability to operate and grow our business.</w:t>
      </w:r>
    </w:p>
    <w:p>
      <w:pPr>
        <w:spacing w:after="0" w:line="77" w:lineRule="exact"/>
        <w:rPr>
          <w:sz w:val="20"/>
          <w:szCs w:val="20"/>
          <w:color w:val="auto"/>
        </w:rPr>
      </w:pPr>
    </w:p>
    <w:p>
      <w:pPr>
        <w:jc w:val="both"/>
        <w:ind w:left="960"/>
        <w:spacing w:after="0" w:line="270" w:lineRule="auto"/>
        <w:rPr>
          <w:sz w:val="20"/>
          <w:szCs w:val="20"/>
          <w:color w:val="auto"/>
        </w:rPr>
      </w:pPr>
      <w:r>
        <w:rPr>
          <w:rFonts w:ascii="Arial" w:cs="Arial" w:eastAsia="Arial" w:hAnsi="Arial"/>
          <w:sz w:val="18"/>
          <w:szCs w:val="18"/>
          <w:i w:val="1"/>
          <w:iCs w:val="1"/>
          <w:color w:val="auto"/>
        </w:rPr>
        <w:t xml:space="preserve">Our ability to raise capital in order to fund acquisitions and strategic growth initiatives. </w:t>
      </w:r>
      <w:r>
        <w:rPr>
          <w:rFonts w:ascii="Arial" w:cs="Arial" w:eastAsia="Arial" w:hAnsi="Arial"/>
          <w:sz w:val="18"/>
          <w:szCs w:val="18"/>
          <w:color w:val="auto"/>
        </w:rPr>
        <w:t>In addition to organic growth of our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and services, our growth will continue to depend, in part, on our ability to identify, evaluate and acquire high performing and high-quality asset management businesses in order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 worthiness. The funding available through the issuance of equity securities will be determined in part by the market price of our shares.</w:t>
      </w:r>
    </w:p>
    <w:p>
      <w:pPr>
        <w:spacing w:after="0" w:line="84" w:lineRule="exact"/>
        <w:rPr>
          <w:sz w:val="20"/>
          <w:szCs w:val="20"/>
          <w:color w:val="auto"/>
        </w:rPr>
      </w:pPr>
    </w:p>
    <w:p>
      <w:pPr>
        <w:jc w:val="both"/>
        <w:ind w:left="960"/>
        <w:spacing w:after="0" w:line="314" w:lineRule="auto"/>
        <w:rPr>
          <w:sz w:val="20"/>
          <w:szCs w:val="20"/>
          <w:color w:val="auto"/>
        </w:rPr>
      </w:pPr>
      <w:r>
        <w:rPr>
          <w:rFonts w:ascii="Arial" w:cs="Arial" w:eastAsia="Arial" w:hAnsi="Arial"/>
          <w:sz w:val="16"/>
          <w:szCs w:val="16"/>
          <w:i w:val="1"/>
          <w:iCs w:val="1"/>
          <w:color w:val="auto"/>
        </w:rPr>
        <w:t xml:space="preserve">Increased competition to work with top private equity fund managers. </w:t>
      </w:r>
      <w:r>
        <w:rPr>
          <w:rFonts w:ascii="Arial" w:cs="Arial" w:eastAsia="Arial" w:hAnsi="Arial"/>
          <w:sz w:val="16"/>
          <w:szCs w:val="16"/>
          <w:color w:val="auto"/>
        </w:rPr>
        <w:t>There has been a trend amongst larger private markets investors to</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 the number of general partners in which they invest and work with.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spacing w:after="0" w:line="52" w:lineRule="exact"/>
        <w:rPr>
          <w:sz w:val="20"/>
          <w:szCs w:val="20"/>
          <w:color w:val="auto"/>
        </w:rPr>
      </w:pPr>
    </w:p>
    <w:p>
      <w:pPr>
        <w:jc w:val="both"/>
        <w:ind w:left="960"/>
        <w:spacing w:after="0" w:line="270" w:lineRule="auto"/>
        <w:rPr>
          <w:sz w:val="20"/>
          <w:szCs w:val="20"/>
          <w:color w:val="auto"/>
        </w:rPr>
      </w:pPr>
      <w:r>
        <w:rPr>
          <w:rFonts w:ascii="Arial" w:cs="Arial" w:eastAsia="Arial" w:hAnsi="Arial"/>
          <w:sz w:val="18"/>
          <w:szCs w:val="18"/>
          <w:i w:val="1"/>
          <w:iCs w:val="1"/>
          <w:color w:val="auto"/>
        </w:rPr>
        <w:t xml:space="preserve">Data advantage relative to competitors. </w:t>
      </w:r>
      <w:r>
        <w:rPr>
          <w:rFonts w:ascii="Arial" w:cs="Arial" w:eastAsia="Arial" w:hAnsi="Arial"/>
          <w:sz w:val="18"/>
          <w:szCs w:val="18"/>
          <w:color w:val="auto"/>
        </w:rPr>
        <w:t>We believe that the general trend towards transparency and consistency in private markets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will create new opportunities for us to leverage our databases and analytical capabilities. We intend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a number of factors, including our continued access to a broad set of private market information on an on-going basis, as well as our ability to maintain our investment scale, considering the evolving competitive landscape and potential industry consolidation.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COVID-19</w:t>
      </w:r>
    </w:p>
    <w:p>
      <w:pPr>
        <w:spacing w:after="0" w:line="24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7"/>
          <w:szCs w:val="17"/>
          <w:color w:val="auto"/>
        </w:rPr>
        <w:t>In March 2020, the World Health Organization declared the outbreak of a novel coronavirus (COVID-19) a global pandemic, which has resulted in significant disruption and uncertainty in the global economic markets. The full extent of the operational and financial impact the COVID-19 pandemic may have on the Company has yet to be determined and is dependent on its duration and spread, the effectiveness of treatments and measures of prevention, and any related operational restrictions and the overall economy. Currently, we have activated our Business Continuity Plan, which assures the ability for all aspects of our business to continue operating without interruption. We are unable to accurately predict how COVID-19 will affect the results of our operations because the virus’s severity, the effectiveness, availability and public acceptance of vaccines, as well as the duration of the pandemic are uncertain. However, we do not expect a significant impact to our near-term results given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color w:val="auto"/>
        </w:rPr>
        <w:t>the structure of our contracts. While it is premature to accurately predict its full impact, the pandemic may affect our ability to raise capital for future funds.</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Financial &amp; Operating Metrics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spacing w:after="0" w:line="183"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We earn management and advisory fees based on a percentage of investors’ capital commitments to or, in selected cases, net invested capital in, or NAV, of our investment funds.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selected cases. Fee schedules are generally fixed and set for the expected life of the funds, which typically are between ten to fifteen years. These fees are typically staged to decrease over the life of the contract due to built-in declines in contractual rates and/or as a result of lower net invested capital balances as capital is returned to investors. We also earn revenues through catch-up fees ("catch 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spacing w:after="0" w:line="182"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Compensation and benefits are our largest expense and consists of salaries, bonuses, employee benefits and employer-related payroll taxes. Despite our general operating leverage that exists, we expect to continue to experience an incremental rise in compensation and benefits expense commensurate with expected growth in headcount and with the need to maintain 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As such, while this does not impact the compensation we pay to our employees, it allows our investment professionals to receive additional benefit and provides economic incentive for them to outperform on behalf of our investors. This structure differs from that of most of our competitors, which we believe better aligns the objectives of our stockholders, investors and investment professionals. The result is the substantial majority of our compensation and benefit expense is predictable.</w:t>
      </w:r>
    </w:p>
    <w:p>
      <w:pPr>
        <w:spacing w:after="0" w:line="182"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Professional fees primarily consist of legal, advisory, accounting and tax fees which may include services related to our strategic development opportunities such as due diligence performed in connection with potential acquisitions. Our professional fees will fluctuate commensurate with our strategic objectives and potential acquisitions, and certain recurring accounting advisory, audit and tax expenses are expected to increase as our Company has become an SEC registrant and we must comply with additional regulatory requirements. However, much of this investment was made during the first half of 2021.</w:t>
      </w:r>
    </w:p>
    <w:p>
      <w:pPr>
        <w:spacing w:after="0" w:line="191"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General, administrative and other includes occupancy, travel and entertainment, technology, insurance and other general costs associated with operating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31"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Interest expense includes interest paid and accrued on our outstanding debt, along with the amortization of deferred financing costs, amortization of original issue discount and the write-off of deferred financing costs due to the repayment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previously outstanding debt. Interest expense also includes the effects of the imputed interest on certain non-interest-bearing notes payable.</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Expense/Benefit</w:t>
      </w:r>
    </w:p>
    <w:p>
      <w:pPr>
        <w:spacing w:after="0" w:line="13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Income tax expense/benefit is comprised of current and deferred tax expense/benefit. Current income tax expense/benefit represents our estimated taxes to be paid or refunded for the current period. In accordance with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Fee-Paying Assets Under Management, or FPAUM</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39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three and nine months ended September 30, 2021 and September 30,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5"/>
          </w:tcPr>
          <w:p>
            <w:pPr>
              <w:jc w:val="right"/>
              <w:ind w:right="320"/>
              <w:spacing w:after="0"/>
              <w:rPr>
                <w:sz w:val="20"/>
                <w:szCs w:val="20"/>
                <w:color w:val="auto"/>
              </w:rPr>
            </w:pPr>
            <w:r>
              <w:rPr>
                <w:rFonts w:ascii="Arial" w:cs="Arial" w:eastAsia="Arial" w:hAnsi="Arial"/>
                <w:sz w:val="13"/>
                <w:szCs w:val="13"/>
                <w:b w:val="1"/>
                <w:bCs w:val="1"/>
                <w:color w:val="auto"/>
                <w:w w:val="89"/>
              </w:rPr>
              <w:t>For the Three Months Ended</w:t>
            </w: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5"/>
          </w:tcPr>
          <w:p>
            <w:pPr>
              <w:jc w:val="right"/>
              <w:ind w:right="300"/>
              <w:spacing w:after="0"/>
              <w:rPr>
                <w:sz w:val="20"/>
                <w:szCs w:val="20"/>
                <w:color w:val="auto"/>
              </w:rPr>
            </w:pPr>
            <w:r>
              <w:rPr>
                <w:rFonts w:ascii="Arial" w:cs="Arial" w:eastAsia="Arial" w:hAnsi="Arial"/>
                <w:sz w:val="13"/>
                <w:szCs w:val="13"/>
                <w:b w:val="1"/>
                <w:bCs w:val="1"/>
                <w:color w:val="auto"/>
                <w:w w:val="88"/>
              </w:rPr>
              <w:t>For the Nine Months Ended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98"/>
        </w:trPr>
        <w:tc>
          <w:tcPr>
            <w:tcW w:w="3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92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3"/>
                <w:szCs w:val="13"/>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3"/>
                <w:szCs w:val="13"/>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83"/>
        </w:trPr>
        <w:tc>
          <w:tcPr>
            <w:tcW w:w="30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2021</w:t>
            </w: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2020</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92"/>
              </w:rPr>
              <w:t>$ Change</w:t>
            </w:r>
          </w:p>
        </w:tc>
        <w:tc>
          <w:tcPr>
            <w:tcW w:w="180" w:type="dxa"/>
            <w:vAlign w:val="bottom"/>
          </w:tcPr>
          <w:p>
            <w:pPr>
              <w:spacing w:after="0"/>
              <w:rPr>
                <w:sz w:val="15"/>
                <w:szCs w:val="15"/>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 Change</w:t>
            </w: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2021</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w w:val="88"/>
              </w:rPr>
              <w:t>$ Change</w:t>
            </w:r>
          </w:p>
        </w:tc>
        <w:tc>
          <w:tcPr>
            <w:tcW w:w="140" w:type="dxa"/>
            <w:vAlign w:val="bottom"/>
          </w:tcPr>
          <w:p>
            <w:pPr>
              <w:spacing w:after="0"/>
              <w:rPr>
                <w:sz w:val="15"/>
                <w:szCs w:val="15"/>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 Change</w:t>
            </w:r>
          </w:p>
        </w:tc>
        <w:tc>
          <w:tcPr>
            <w:tcW w:w="220" w:type="dxa"/>
            <w:vAlign w:val="bottom"/>
          </w:tcPr>
          <w:p>
            <w:pPr>
              <w:spacing w:after="0"/>
              <w:rPr>
                <w:sz w:val="15"/>
                <w:szCs w:val="15"/>
                <w:color w:val="auto"/>
              </w:rPr>
            </w:pPr>
          </w:p>
        </w:tc>
      </w:tr>
      <w:tr>
        <w:trPr>
          <w:trHeight w:val="181"/>
        </w:trPr>
        <w:tc>
          <w:tcPr>
            <w:tcW w:w="3020" w:type="dxa"/>
            <w:vAlign w:val="bottom"/>
          </w:tcPr>
          <w:p>
            <w:pPr>
              <w:ind w:left="20"/>
              <w:spacing w:after="0"/>
              <w:rPr>
                <w:sz w:val="20"/>
                <w:szCs w:val="20"/>
                <w:color w:val="auto"/>
              </w:rPr>
            </w:pPr>
            <w:r>
              <w:rPr>
                <w:rFonts w:ascii="Arial" w:cs="Arial" w:eastAsia="Arial" w:hAnsi="Arial"/>
                <w:sz w:val="13"/>
                <w:szCs w:val="13"/>
                <w:b w:val="1"/>
                <w:bCs w:val="1"/>
                <w:color w:val="auto"/>
              </w:rPr>
              <w:t>REVENUES</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87"/>
              </w:rPr>
              <w:t>(in thousands)</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84"/>
              </w:rPr>
              <w:t>(in thousands)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97"/>
        </w:trPr>
        <w:tc>
          <w:tcPr>
            <w:tcW w:w="30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Management and advisory fees</w:t>
            </w: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37,939</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15,222</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22,717</w:t>
            </w: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149 %</w:t>
            </w: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104,029</w:t>
            </w: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41,821</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62,208</w:t>
            </w: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149 %</w:t>
            </w:r>
          </w:p>
        </w:tc>
      </w:tr>
      <w:tr>
        <w:trPr>
          <w:trHeight w:val="188"/>
        </w:trPr>
        <w:tc>
          <w:tcPr>
            <w:tcW w:w="3020" w:type="dxa"/>
            <w:vAlign w:val="bottom"/>
          </w:tcPr>
          <w:p>
            <w:pPr>
              <w:ind w:left="160"/>
              <w:spacing w:after="0"/>
              <w:rPr>
                <w:sz w:val="20"/>
                <w:szCs w:val="20"/>
                <w:color w:val="auto"/>
              </w:rPr>
            </w:pPr>
            <w:r>
              <w:rPr>
                <w:rFonts w:ascii="Arial" w:cs="Arial" w:eastAsia="Arial" w:hAnsi="Arial"/>
                <w:sz w:val="13"/>
                <w:szCs w:val="13"/>
                <w:color w:val="auto"/>
              </w:rPr>
              <w:t>Other revenue</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206</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159</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w:t>
            </w:r>
          </w:p>
        </w:tc>
        <w:tc>
          <w:tcPr>
            <w:tcW w:w="18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30 %</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872</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861</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w:t>
            </w:r>
          </w:p>
        </w:tc>
        <w:tc>
          <w:tcPr>
            <w:tcW w:w="14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1 %</w:t>
            </w:r>
          </w:p>
        </w:tc>
      </w:tr>
      <w:tr>
        <w:trPr>
          <w:trHeight w:val="184"/>
        </w:trPr>
        <w:tc>
          <w:tcPr>
            <w:tcW w:w="3020" w:type="dxa"/>
            <w:vAlign w:val="bottom"/>
            <w:shd w:val="clear" w:color="auto" w:fill="CFF0FC"/>
          </w:tcPr>
          <w:p>
            <w:pPr>
              <w:ind w:left="300"/>
              <w:spacing w:after="0"/>
              <w:rPr>
                <w:sz w:val="20"/>
                <w:szCs w:val="20"/>
                <w:color w:val="auto"/>
              </w:rPr>
            </w:pPr>
            <w:r>
              <w:rPr>
                <w:rFonts w:ascii="Arial" w:cs="Arial" w:eastAsia="Arial" w:hAnsi="Arial"/>
                <w:sz w:val="13"/>
                <w:szCs w:val="13"/>
                <w:color w:val="auto"/>
              </w:rPr>
              <w:t>Total revenues</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38,145</w:t>
            </w:r>
          </w:p>
        </w:tc>
        <w:tc>
          <w:tcPr>
            <w:tcW w:w="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15,381</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22,764</w:t>
            </w:r>
          </w:p>
        </w:tc>
        <w:tc>
          <w:tcPr>
            <w:tcW w:w="18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148 %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104,901</w:t>
            </w:r>
          </w:p>
        </w:tc>
        <w:tc>
          <w:tcPr>
            <w:tcW w:w="160" w:type="dxa"/>
            <w:vAlign w:val="bottom"/>
            <w:tcBorders>
              <w:right w:val="single" w:sz="8" w:color="CFF0FC"/>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42,682</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62,219</w:t>
            </w:r>
          </w:p>
        </w:tc>
        <w:tc>
          <w:tcPr>
            <w:tcW w:w="14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146 %</w:t>
            </w:r>
          </w:p>
        </w:tc>
      </w:tr>
      <w:tr>
        <w:trPr>
          <w:trHeight w:val="181"/>
        </w:trPr>
        <w:tc>
          <w:tcPr>
            <w:tcW w:w="3020" w:type="dxa"/>
            <w:vAlign w:val="bottom"/>
          </w:tcPr>
          <w:p>
            <w:pPr>
              <w:ind w:left="20"/>
              <w:spacing w:after="0"/>
              <w:rPr>
                <w:sz w:val="20"/>
                <w:szCs w:val="20"/>
                <w:color w:val="auto"/>
              </w:rPr>
            </w:pPr>
            <w:r>
              <w:rPr>
                <w:rFonts w:ascii="Arial" w:cs="Arial" w:eastAsia="Arial" w:hAnsi="Arial"/>
                <w:sz w:val="13"/>
                <w:szCs w:val="13"/>
                <w:b w:val="1"/>
                <w:bCs w:val="1"/>
                <w:color w:val="auto"/>
              </w:rPr>
              <w:t>OPERATING EXPENSES</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97"/>
        </w:trPr>
        <w:tc>
          <w:tcPr>
            <w:tcW w:w="30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Compensation and benefits</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14,009</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5,918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8,091</w:t>
            </w: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137 %</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38,119</w:t>
            </w: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15,818</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22,301</w:t>
            </w: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141 %</w:t>
            </w:r>
          </w:p>
        </w:tc>
      </w:tr>
      <w:tr>
        <w:trPr>
          <w:trHeight w:val="181"/>
        </w:trPr>
        <w:tc>
          <w:tcPr>
            <w:tcW w:w="3020" w:type="dxa"/>
            <w:vAlign w:val="bottom"/>
          </w:tcPr>
          <w:p>
            <w:pPr>
              <w:ind w:left="160"/>
              <w:spacing w:after="0"/>
              <w:rPr>
                <w:sz w:val="20"/>
                <w:szCs w:val="20"/>
                <w:color w:val="auto"/>
              </w:rPr>
            </w:pPr>
            <w:r>
              <w:rPr>
                <w:rFonts w:ascii="Arial" w:cs="Arial" w:eastAsia="Arial" w:hAnsi="Arial"/>
                <w:sz w:val="13"/>
                <w:szCs w:val="13"/>
                <w:color w:val="auto"/>
              </w:rPr>
              <w:t>Professional fees</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2,595</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2,627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(32 )</w:t>
            </w: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(1 )%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7,856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5,177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2,679</w:t>
            </w:r>
          </w:p>
        </w:tc>
        <w:tc>
          <w:tcPr>
            <w:tcW w:w="1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52 %</w:t>
            </w:r>
          </w:p>
        </w:tc>
      </w:tr>
      <w:tr>
        <w:trPr>
          <w:trHeight w:val="197"/>
        </w:trPr>
        <w:tc>
          <w:tcPr>
            <w:tcW w:w="30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General, administrative and other</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3,019</w:t>
            </w: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1,068</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1,951</w:t>
            </w:r>
          </w:p>
        </w:tc>
        <w:tc>
          <w:tcPr>
            <w:tcW w:w="1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183 %</w:t>
            </w: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8,310</w:t>
            </w:r>
          </w:p>
        </w:tc>
        <w:tc>
          <w:tcPr>
            <w:tcW w:w="16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3,160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5,150</w:t>
            </w: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163 %</w:t>
            </w:r>
          </w:p>
        </w:tc>
      </w:tr>
      <w:tr>
        <w:trPr>
          <w:trHeight w:val="188"/>
        </w:trPr>
        <w:tc>
          <w:tcPr>
            <w:tcW w:w="3020" w:type="dxa"/>
            <w:vAlign w:val="bottom"/>
          </w:tcPr>
          <w:p>
            <w:pPr>
              <w:ind w:left="160"/>
              <w:spacing w:after="0"/>
              <w:rPr>
                <w:sz w:val="20"/>
                <w:szCs w:val="20"/>
                <w:color w:val="auto"/>
              </w:rPr>
            </w:pPr>
            <w:r>
              <w:rPr>
                <w:rFonts w:ascii="Arial" w:cs="Arial" w:eastAsia="Arial" w:hAnsi="Arial"/>
                <w:sz w:val="13"/>
                <w:szCs w:val="13"/>
                <w:color w:val="auto"/>
              </w:rPr>
              <w:t>Amortization of intangibles</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7,484</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3,572</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3,912</w:t>
            </w:r>
          </w:p>
        </w:tc>
        <w:tc>
          <w:tcPr>
            <w:tcW w:w="18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110 %</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22,452</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9,606</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12,846</w:t>
            </w:r>
          </w:p>
        </w:tc>
        <w:tc>
          <w:tcPr>
            <w:tcW w:w="14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134 %</w:t>
            </w:r>
          </w:p>
        </w:tc>
      </w:tr>
      <w:tr>
        <w:trPr>
          <w:trHeight w:val="183"/>
        </w:trPr>
        <w:tc>
          <w:tcPr>
            <w:tcW w:w="302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3"/>
                <w:szCs w:val="13"/>
                <w:color w:val="auto"/>
              </w:rPr>
              <w:t>Total operating expenses</w:t>
            </w:r>
          </w:p>
        </w:tc>
        <w:tc>
          <w:tcPr>
            <w:tcW w:w="1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27,107</w:t>
            </w:r>
          </w:p>
        </w:tc>
        <w:tc>
          <w:tcPr>
            <w:tcW w:w="18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13,185</w:t>
            </w:r>
          </w:p>
        </w:tc>
        <w:tc>
          <w:tcPr>
            <w:tcW w:w="1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13,922</w:t>
            </w:r>
          </w:p>
        </w:tc>
        <w:tc>
          <w:tcPr>
            <w:tcW w:w="180" w:type="dxa"/>
            <w:vAlign w:val="bottom"/>
            <w:tcBorders>
              <w:bottom w:val="single" w:sz="8" w:color="CFF0FC"/>
            </w:tcBorders>
            <w:shd w:val="clear" w:color="auto" w:fill="CFF0FC"/>
          </w:tcPr>
          <w:p>
            <w:pPr>
              <w:spacing w:after="0"/>
              <w:rPr>
                <w:sz w:val="15"/>
                <w:szCs w:val="15"/>
                <w:color w:val="auto"/>
              </w:rPr>
            </w:pPr>
          </w:p>
        </w:tc>
        <w:tc>
          <w:tcPr>
            <w:tcW w:w="120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106 %</w:t>
            </w:r>
          </w:p>
        </w:tc>
        <w:tc>
          <w:tcPr>
            <w:tcW w:w="18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76,737</w:t>
            </w:r>
          </w:p>
        </w:tc>
        <w:tc>
          <w:tcPr>
            <w:tcW w:w="160" w:type="dxa"/>
            <w:vAlign w:val="bottom"/>
            <w:tcBorders>
              <w:bottom w:val="single" w:sz="8" w:color="CFF0FC"/>
              <w:right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33,761</w:t>
            </w: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42,976</w:t>
            </w:r>
          </w:p>
        </w:tc>
        <w:tc>
          <w:tcPr>
            <w:tcW w:w="14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127 %</w:t>
            </w:r>
          </w:p>
        </w:tc>
      </w:tr>
      <w:tr>
        <w:trPr>
          <w:trHeight w:val="357"/>
        </w:trPr>
        <w:tc>
          <w:tcPr>
            <w:tcW w:w="3020" w:type="dxa"/>
            <w:vAlign w:val="bottom"/>
          </w:tcPr>
          <w:p>
            <w:pPr>
              <w:ind w:left="20"/>
              <w:spacing w:after="0"/>
              <w:rPr>
                <w:sz w:val="20"/>
                <w:szCs w:val="20"/>
                <w:color w:val="auto"/>
              </w:rPr>
            </w:pPr>
            <w:r>
              <w:rPr>
                <w:rFonts w:ascii="Arial" w:cs="Arial" w:eastAsia="Arial" w:hAnsi="Arial"/>
                <w:sz w:val="13"/>
                <w:szCs w:val="13"/>
                <w:b w:val="1"/>
                <w:bCs w:val="1"/>
                <w:color w:val="auto"/>
              </w:rPr>
              <w:t>INCOME FROM OPERATIONS</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11,038</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2,196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8,842</w:t>
            </w:r>
          </w:p>
        </w:tc>
        <w:tc>
          <w:tcPr>
            <w:tcW w:w="18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403 %</w:t>
            </w: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28,164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8,921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19,243</w:t>
            </w:r>
          </w:p>
        </w:tc>
        <w:tc>
          <w:tcPr>
            <w:tcW w:w="14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216 %</w:t>
            </w:r>
          </w:p>
        </w:tc>
      </w:tr>
      <w:tr>
        <w:trPr>
          <w:trHeight w:val="205"/>
        </w:trPr>
        <w:tc>
          <w:tcPr>
            <w:tcW w:w="3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189"/>
        </w:trPr>
        <w:tc>
          <w:tcPr>
            <w:tcW w:w="30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OTHER (EXPENSE)/INCOME</w:t>
            </w: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60" w:type="dxa"/>
            <w:vAlign w:val="bottom"/>
            <w:tcBorders>
              <w:right w:val="single" w:sz="8" w:color="CFF0FC"/>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r>
      <w:tr>
        <w:trPr>
          <w:trHeight w:val="362"/>
        </w:trPr>
        <w:tc>
          <w:tcPr>
            <w:tcW w:w="3020" w:type="dxa"/>
            <w:vAlign w:val="bottom"/>
          </w:tcPr>
          <w:p>
            <w:pPr>
              <w:ind w:left="160"/>
              <w:spacing w:after="0"/>
              <w:rPr>
                <w:sz w:val="20"/>
                <w:szCs w:val="20"/>
                <w:color w:val="auto"/>
              </w:rPr>
            </w:pPr>
            <w:r>
              <w:rPr>
                <w:rFonts w:ascii="Arial" w:cs="Arial" w:eastAsia="Arial" w:hAnsi="Arial"/>
                <w:sz w:val="13"/>
                <w:szCs w:val="13"/>
                <w:color w:val="auto"/>
              </w:rPr>
              <w:t>Interest expense implied on notes</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70"/>
        </w:trPr>
        <w:tc>
          <w:tcPr>
            <w:tcW w:w="3020" w:type="dxa"/>
            <w:vAlign w:val="bottom"/>
          </w:tcPr>
          <w:p>
            <w:pPr>
              <w:ind w:left="260"/>
              <w:spacing w:after="0"/>
              <w:rPr>
                <w:sz w:val="20"/>
                <w:szCs w:val="20"/>
                <w:color w:val="auto"/>
              </w:rPr>
            </w:pPr>
            <w:r>
              <w:rPr>
                <w:rFonts w:ascii="Arial" w:cs="Arial" w:eastAsia="Arial" w:hAnsi="Arial"/>
                <w:sz w:val="13"/>
                <w:szCs w:val="13"/>
                <w:color w:val="auto"/>
              </w:rPr>
              <w:t>payable to sellers</w:t>
            </w: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3"/>
                <w:szCs w:val="13"/>
                <w:color w:val="auto"/>
              </w:rPr>
              <w:t>(223 )</w:t>
            </w:r>
          </w:p>
        </w:tc>
        <w:tc>
          <w:tcPr>
            <w:tcW w:w="10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(216 )</w:t>
            </w:r>
          </w:p>
        </w:tc>
        <w:tc>
          <w:tcPr>
            <w:tcW w:w="12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(7 )</w:t>
            </w:r>
          </w:p>
        </w:tc>
        <w:tc>
          <w:tcPr>
            <w:tcW w:w="1200" w:type="dxa"/>
            <w:vAlign w:val="bottom"/>
            <w:gridSpan w:val="2"/>
          </w:tcPr>
          <w:p>
            <w:pPr>
              <w:jc w:val="right"/>
              <w:ind w:right="240"/>
              <w:spacing w:after="0"/>
              <w:rPr>
                <w:sz w:val="20"/>
                <w:szCs w:val="20"/>
                <w:color w:val="auto"/>
              </w:rPr>
            </w:pPr>
            <w:r>
              <w:rPr>
                <w:rFonts w:ascii="Arial" w:cs="Arial" w:eastAsia="Arial" w:hAnsi="Arial"/>
                <w:sz w:val="13"/>
                <w:szCs w:val="13"/>
                <w:color w:val="auto"/>
              </w:rPr>
              <w:t>3 %</w:t>
            </w:r>
          </w:p>
        </w:tc>
        <w:tc>
          <w:tcPr>
            <w:tcW w:w="1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(657 )</w:t>
            </w:r>
          </w:p>
        </w:tc>
        <w:tc>
          <w:tcPr>
            <w:tcW w:w="10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3"/>
                <w:szCs w:val="13"/>
                <w:color w:val="auto"/>
              </w:rPr>
              <w:t>(771 )</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114</w:t>
            </w:r>
          </w:p>
        </w:tc>
        <w:tc>
          <w:tcPr>
            <w:tcW w:w="140" w:type="dxa"/>
            <w:vAlign w:val="bottom"/>
          </w:tcPr>
          <w:p>
            <w:pPr>
              <w:spacing w:after="0"/>
              <w:rPr>
                <w:sz w:val="14"/>
                <w:szCs w:val="14"/>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3"/>
                <w:szCs w:val="13"/>
                <w:color w:val="auto"/>
              </w:rPr>
              <w:t>(15 )%</w:t>
            </w:r>
          </w:p>
        </w:tc>
      </w:tr>
      <w:tr>
        <w:trPr>
          <w:trHeight w:val="197"/>
        </w:trPr>
        <w:tc>
          <w:tcPr>
            <w:tcW w:w="30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Interest expense, net</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(5,261 )</w:t>
            </w: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(2,089 )</w:t>
            </w: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(3,172 )</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152 %</w:t>
            </w:r>
          </w:p>
        </w:tc>
        <w:tc>
          <w:tcPr>
            <w:tcW w:w="18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(15,761 )</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(6,498 )</w:t>
            </w: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(9,263 )</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143 %</w:t>
            </w:r>
          </w:p>
        </w:tc>
      </w:tr>
      <w:tr>
        <w:trPr>
          <w:trHeight w:val="188"/>
        </w:trPr>
        <w:tc>
          <w:tcPr>
            <w:tcW w:w="3020" w:type="dxa"/>
            <w:vAlign w:val="bottom"/>
          </w:tcPr>
          <w:p>
            <w:pPr>
              <w:ind w:left="160"/>
              <w:spacing w:after="0"/>
              <w:rPr>
                <w:sz w:val="20"/>
                <w:szCs w:val="20"/>
                <w:color w:val="auto"/>
              </w:rPr>
            </w:pPr>
            <w:r>
              <w:rPr>
                <w:rFonts w:ascii="Arial" w:cs="Arial" w:eastAsia="Arial" w:hAnsi="Arial"/>
                <w:sz w:val="13"/>
                <w:szCs w:val="13"/>
                <w:color w:val="auto"/>
              </w:rPr>
              <w:t>Other income</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283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(1 )</w:t>
            </w: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284</w:t>
            </w:r>
          </w:p>
        </w:tc>
        <w:tc>
          <w:tcPr>
            <w:tcW w:w="18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(28,400 )%</w:t>
            </w:r>
          </w:p>
        </w:tc>
        <w:tc>
          <w:tcPr>
            <w:tcW w:w="1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668</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647</w:t>
            </w:r>
          </w:p>
        </w:tc>
        <w:tc>
          <w:tcPr>
            <w:tcW w:w="14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3,081 %</w:t>
            </w:r>
          </w:p>
        </w:tc>
      </w:tr>
      <w:tr>
        <w:trPr>
          <w:trHeight w:val="20"/>
        </w:trPr>
        <w:tc>
          <w:tcPr>
            <w:tcW w:w="3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83"/>
        </w:trPr>
        <w:tc>
          <w:tcPr>
            <w:tcW w:w="3020" w:type="dxa"/>
            <w:vAlign w:val="bottom"/>
            <w:shd w:val="clear" w:color="auto" w:fill="CFF0FC"/>
          </w:tcPr>
          <w:p>
            <w:pPr>
              <w:ind w:left="300"/>
              <w:spacing w:after="0"/>
              <w:rPr>
                <w:sz w:val="20"/>
                <w:szCs w:val="20"/>
                <w:color w:val="auto"/>
              </w:rPr>
            </w:pPr>
            <w:r>
              <w:rPr>
                <w:rFonts w:ascii="Arial" w:cs="Arial" w:eastAsia="Arial" w:hAnsi="Arial"/>
                <w:sz w:val="13"/>
                <w:szCs w:val="13"/>
                <w:color w:val="auto"/>
              </w:rPr>
              <w:t>Total other (expense)</w:t>
            </w:r>
          </w:p>
        </w:tc>
        <w:tc>
          <w:tcPr>
            <w:tcW w:w="1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(5,201 )</w:t>
            </w:r>
          </w:p>
        </w:tc>
        <w:tc>
          <w:tcPr>
            <w:tcW w:w="1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(2,306 )</w:t>
            </w: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(2,895 )</w:t>
            </w:r>
          </w:p>
        </w:tc>
        <w:tc>
          <w:tcPr>
            <w:tcW w:w="12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126 %</w:t>
            </w:r>
          </w:p>
        </w:tc>
        <w:tc>
          <w:tcPr>
            <w:tcW w:w="180" w:type="dxa"/>
            <w:vAlign w:val="bottom"/>
            <w:shd w:val="clear" w:color="auto" w:fill="CFF0FC"/>
          </w:tcPr>
          <w:p>
            <w:pPr>
              <w:spacing w:after="0"/>
              <w:rPr>
                <w:sz w:val="15"/>
                <w:szCs w:val="15"/>
                <w:color w:val="auto"/>
              </w:rPr>
            </w:pP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(15,750 )</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(7,248 )</w:t>
            </w:r>
          </w:p>
        </w:tc>
        <w:tc>
          <w:tcPr>
            <w:tcW w:w="1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(8,502 )</w:t>
            </w:r>
          </w:p>
        </w:tc>
        <w:tc>
          <w:tcPr>
            <w:tcW w:w="106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117 %</w:t>
            </w:r>
          </w:p>
        </w:tc>
      </w:tr>
      <w:tr>
        <w:trPr>
          <w:trHeight w:val="20"/>
        </w:trPr>
        <w:tc>
          <w:tcPr>
            <w:tcW w:w="30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176"/>
        </w:trPr>
        <w:tc>
          <w:tcPr>
            <w:tcW w:w="3020" w:type="dxa"/>
            <w:vAlign w:val="bottom"/>
          </w:tcPr>
          <w:p>
            <w:pPr>
              <w:ind w:left="160"/>
              <w:spacing w:after="0"/>
              <w:rPr>
                <w:sz w:val="20"/>
                <w:szCs w:val="20"/>
                <w:color w:val="auto"/>
              </w:rPr>
            </w:pPr>
            <w:r>
              <w:rPr>
                <w:rFonts w:ascii="Arial" w:cs="Arial" w:eastAsia="Arial" w:hAnsi="Arial"/>
                <w:sz w:val="13"/>
                <w:szCs w:val="13"/>
                <w:color w:val="auto"/>
              </w:rPr>
              <w:t>Net income/(loss) before income taxes</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5,837</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(110 )</w:t>
            </w: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5,947</w:t>
            </w:r>
          </w:p>
        </w:tc>
        <w:tc>
          <w:tcPr>
            <w:tcW w:w="180" w:type="dxa"/>
            <w:vAlign w:val="bottom"/>
          </w:tcPr>
          <w:p>
            <w:pPr>
              <w:spacing w:after="0"/>
              <w:rPr>
                <w:sz w:val="15"/>
                <w:szCs w:val="15"/>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3"/>
                <w:szCs w:val="13"/>
                <w:color w:val="auto"/>
              </w:rPr>
              <w:t>(5,406 )%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12,414</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1,673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10,741</w:t>
            </w:r>
          </w:p>
        </w:tc>
        <w:tc>
          <w:tcPr>
            <w:tcW w:w="140" w:type="dxa"/>
            <w:vAlign w:val="bottom"/>
          </w:tcPr>
          <w:p>
            <w:pPr>
              <w:spacing w:after="0"/>
              <w:rPr>
                <w:sz w:val="15"/>
                <w:szCs w:val="15"/>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3"/>
                <w:szCs w:val="13"/>
                <w:color w:val="auto"/>
              </w:rPr>
              <w:t>642 %</w:t>
            </w:r>
          </w:p>
        </w:tc>
      </w:tr>
      <w:tr>
        <w:trPr>
          <w:trHeight w:val="196"/>
        </w:trPr>
        <w:tc>
          <w:tcPr>
            <w:tcW w:w="3020" w:type="dxa"/>
            <w:vAlign w:val="bottom"/>
            <w:shd w:val="clear" w:color="auto" w:fill="CFF0FC"/>
          </w:tcPr>
          <w:p>
            <w:pPr>
              <w:ind w:left="160"/>
              <w:spacing w:after="0"/>
              <w:rPr>
                <w:sz w:val="20"/>
                <w:szCs w:val="20"/>
                <w:color w:val="auto"/>
              </w:rPr>
            </w:pPr>
            <w:r>
              <w:rPr>
                <w:rFonts w:ascii="Arial" w:cs="Arial" w:eastAsia="Arial" w:hAnsi="Arial"/>
                <w:sz w:val="13"/>
                <w:szCs w:val="13"/>
                <w:color w:val="auto"/>
              </w:rPr>
              <w:t>Income tax (expense)/benefit</w:t>
            </w:r>
          </w:p>
        </w:tc>
        <w:tc>
          <w:tcPr>
            <w:tcW w:w="18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(1,759 )</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(1,934 )</w:t>
            </w:r>
          </w:p>
        </w:tc>
        <w:tc>
          <w:tcPr>
            <w:tcW w:w="12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(1,105 )%</w:t>
            </w:r>
          </w:p>
        </w:tc>
        <w:tc>
          <w:tcPr>
            <w:tcW w:w="18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(3,154 )</w:t>
            </w:r>
          </w:p>
        </w:tc>
        <w:tc>
          <w:tcPr>
            <w:tcW w:w="1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1,513</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(4,667 )</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(308 )%</w:t>
            </w:r>
          </w:p>
        </w:tc>
      </w:tr>
      <w:tr>
        <w:trPr>
          <w:trHeight w:val="184"/>
        </w:trPr>
        <w:tc>
          <w:tcPr>
            <w:tcW w:w="302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NET INCOME/(LOSS)</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4,078</w:t>
            </w: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65</w:t>
            </w:r>
          </w:p>
        </w:tc>
        <w:tc>
          <w:tcPr>
            <w:tcW w:w="18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4,013</w:t>
            </w:r>
          </w:p>
        </w:tc>
        <w:tc>
          <w:tcPr>
            <w:tcW w:w="180" w:type="dxa"/>
            <w:vAlign w:val="bottom"/>
            <w:tcBorders>
              <w:top w:val="single" w:sz="8" w:color="CFF0FC"/>
            </w:tcBorders>
          </w:tcPr>
          <w:p>
            <w:pPr>
              <w:spacing w:after="0"/>
              <w:rPr>
                <w:sz w:val="15"/>
                <w:szCs w:val="15"/>
                <w:color w:val="auto"/>
              </w:rPr>
            </w:pPr>
          </w:p>
        </w:tc>
        <w:tc>
          <w:tcPr>
            <w:tcW w:w="1200" w:type="dxa"/>
            <w:vAlign w:val="bottom"/>
            <w:tcBorders>
              <w:top w:val="single" w:sz="8" w:color="CFF0FC"/>
            </w:tcBorders>
            <w:gridSpan w:val="2"/>
          </w:tcPr>
          <w:p>
            <w:pPr>
              <w:jc w:val="right"/>
              <w:ind w:right="240"/>
              <w:spacing w:after="0"/>
              <w:rPr>
                <w:sz w:val="20"/>
                <w:szCs w:val="20"/>
                <w:color w:val="auto"/>
              </w:rPr>
            </w:pPr>
            <w:r>
              <w:rPr>
                <w:rFonts w:ascii="Arial" w:cs="Arial" w:eastAsia="Arial" w:hAnsi="Arial"/>
                <w:sz w:val="13"/>
                <w:szCs w:val="13"/>
                <w:color w:val="auto"/>
              </w:rPr>
              <w:t>6,174 %</w:t>
            </w: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9,260</w:t>
            </w: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3,186</w:t>
            </w:r>
          </w:p>
        </w:tc>
        <w:tc>
          <w:tcPr>
            <w:tcW w:w="140" w:type="dxa"/>
            <w:vAlign w:val="bottom"/>
            <w:tcBorders>
              <w:top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6,074</w:t>
            </w:r>
          </w:p>
        </w:tc>
        <w:tc>
          <w:tcPr>
            <w:tcW w:w="140" w:type="dxa"/>
            <w:vAlign w:val="bottom"/>
            <w:tcBorders>
              <w:top w:val="single" w:sz="8" w:color="CFF0FC"/>
            </w:tcBorders>
          </w:tcPr>
          <w:p>
            <w:pPr>
              <w:spacing w:after="0"/>
              <w:rPr>
                <w:sz w:val="15"/>
                <w:szCs w:val="15"/>
                <w:color w:val="auto"/>
              </w:rPr>
            </w:pPr>
          </w:p>
        </w:tc>
        <w:tc>
          <w:tcPr>
            <w:tcW w:w="1060" w:type="dxa"/>
            <w:vAlign w:val="bottom"/>
            <w:tcBorders>
              <w:top w:val="single" w:sz="8" w:color="CFF0FC"/>
            </w:tcBorders>
            <w:gridSpan w:val="2"/>
          </w:tcPr>
          <w:p>
            <w:pPr>
              <w:jc w:val="right"/>
              <w:ind w:right="120"/>
              <w:spacing w:after="0"/>
              <w:rPr>
                <w:sz w:val="20"/>
                <w:szCs w:val="20"/>
                <w:color w:val="auto"/>
              </w:rPr>
            </w:pPr>
            <w:r>
              <w:rPr>
                <w:rFonts w:ascii="Arial" w:cs="Arial" w:eastAsia="Arial" w:hAnsi="Arial"/>
                <w:sz w:val="13"/>
                <w:szCs w:val="13"/>
                <w:color w:val="auto"/>
              </w:rPr>
              <w:t>191 %</w:t>
            </w:r>
          </w:p>
        </w:tc>
      </w:tr>
      <w:tr>
        <w:trPr>
          <w:trHeight w:val="20"/>
        </w:trPr>
        <w:tc>
          <w:tcPr>
            <w:tcW w:w="3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-1599565</wp:posOffset>
            </wp:positionV>
            <wp:extent cx="11112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-1599565</wp:posOffset>
            </wp:positionV>
            <wp:extent cx="11112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-1599565</wp:posOffset>
            </wp:positionV>
            <wp:extent cx="11112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-1599565</wp:posOffset>
            </wp:positionV>
            <wp:extent cx="11112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-1599565</wp:posOffset>
            </wp:positionV>
            <wp:extent cx="94615"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-1599565</wp:posOffset>
            </wp:positionV>
            <wp:extent cx="9398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-399415</wp:posOffset>
            </wp:positionV>
            <wp:extent cx="111125"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-399415</wp:posOffset>
            </wp:positionV>
            <wp:extent cx="11112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-399415</wp:posOffset>
            </wp:positionV>
            <wp:extent cx="11112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-399415</wp:posOffset>
            </wp:positionV>
            <wp:extent cx="11112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-399415</wp:posOffset>
            </wp:positionV>
            <wp:extent cx="94615"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-399415</wp:posOffset>
            </wp:positionV>
            <wp:extent cx="9398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-150495</wp:posOffset>
            </wp:positionV>
            <wp:extent cx="111125"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-150495</wp:posOffset>
            </wp:positionV>
            <wp:extent cx="111125"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-150495</wp:posOffset>
            </wp:positionV>
            <wp:extent cx="111125"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-150495</wp:posOffset>
            </wp:positionV>
            <wp:extent cx="111125"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-150495</wp:posOffset>
            </wp:positionV>
            <wp:extent cx="9461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-150495</wp:posOffset>
            </wp:positionV>
            <wp:extent cx="9398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2021 and September 30, 2020</w:t>
      </w:r>
    </w:p>
    <w:p>
      <w:pPr>
        <w:spacing w:after="0" w:line="13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three months ended September 30, 2021 and September 30, 2020. For the three months ended September 30, 2021 compared to the three months ended September 30, 2020, revenues increased $22.8 million or 148% due to both higher management fees primarily from the impact of 2020 acquisitions, as well as an increase in other revenues.</w:t>
      </w:r>
    </w:p>
    <w:p>
      <w:pPr>
        <w:spacing w:after="0" w:line="191"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Management fees increased $22.7 million, or 149%, to $37.9 million for the three months ended September 30, 2021 as compared to the three months ended September 30, 2020 due primarily to the acquisitions of TrueBridge and ECG during the fourth quarter of 2020, which contributed management fee and advisory revenues of $18.2 million. The remaining increase of $4.5 million represents an increase in the Company’s management fees due to increases in FPAUM, primarily from capital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1" w:name="page42"/>
    <w:bookmarkEnd w:id="41"/>
    <w:p>
      <w:pPr>
        <w:jc w:val="both"/>
        <w:spacing w:after="0" w:line="293" w:lineRule="auto"/>
        <w:rPr>
          <w:sz w:val="20"/>
          <w:szCs w:val="20"/>
          <w:color w:val="auto"/>
        </w:rPr>
      </w:pPr>
      <w:r>
        <w:rPr>
          <w:rFonts w:ascii="Arial" w:cs="Arial" w:eastAsia="Arial" w:hAnsi="Arial"/>
          <w:sz w:val="18"/>
          <w:szCs w:val="18"/>
          <w:color w:val="auto"/>
        </w:rPr>
        <w:t>raised and additional fund closings during the third quarter of 2021. Catch up fees during the third quarter of 2021 were $1.7 million associated with the fund closings at TrueBridge and RCP.</w:t>
      </w:r>
    </w:p>
    <w:p>
      <w:pPr>
        <w:spacing w:after="0" w:line="170"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Other revenues, which represent ancillary elements of our business, increased by $47 thousand or 30% to $0.2 million for the three months ended September 30, 2021 as compared to the three months ended September 30, 2020 driven primarily by administrative fees.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and September 30, 2020</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Total revenues increased $62.2 million, or 146%, to $104.9 million for the nine months ended September 30, 2021 compared to the nine months ended September 30, 2020, due to higher management and advisory fees, largely attributable to our acquisitions, partially offset by a small decrease in other revenues.</w:t>
      </w:r>
    </w:p>
    <w:p>
      <w:pPr>
        <w:spacing w:after="0" w:line="183"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Management fees increased by $62.2 million, or 149%, to $104.0 million for the nine months ended September 30, 2021 as compared to the nine months ended September 30, 2020 due primarily to the acquisitions of Five Points, TrueBridge, and ECG during fiscal 2020, which contributed $54.8 million to management fee and advisory revenues, in total. Revenue also increased by $5.9 million due to an increase in primary fund closings and $1.4 million related to a private credit fund closing. Catch up fees during Q3 2021 were $2.9 million associated with the fund closings at TrueBridge and RCP.</w:t>
      </w:r>
    </w:p>
    <w:p>
      <w:pPr>
        <w:spacing w:after="0" w:line="156"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Other revenues increased by $11 thousand, or 1% to $0.9 million, from the nine months ended September 30, 2021 compared to the nine months ended September 30, 2020. This increase was primarily attributable to a increase in referral fees during the first half of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7"/>
              </w:rPr>
              <w:t>For the Three Months Ended</w:t>
            </w: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4"/>
              </w:rPr>
              <w:t>For the Nine Months Ended</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9"/>
        </w:trPr>
        <w:tc>
          <w:tcPr>
            <w:tcW w:w="28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195"/>
        </w:trPr>
        <w:tc>
          <w:tcPr>
            <w:tcW w:w="28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91"/>
              </w:rPr>
              <w:t>$ Change</w:t>
            </w:r>
          </w:p>
        </w:tc>
        <w:tc>
          <w:tcPr>
            <w:tcW w:w="260" w:type="dxa"/>
            <w:vAlign w:val="bottom"/>
          </w:tcPr>
          <w:p>
            <w:pPr>
              <w:spacing w:after="0"/>
              <w:rPr>
                <w:sz w:val="17"/>
                <w:szCs w:val="17"/>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4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w w:val="89"/>
              </w:rPr>
              <w:t>Change</w:t>
            </w:r>
          </w:p>
        </w:tc>
        <w:tc>
          <w:tcPr>
            <w:tcW w:w="140" w:type="dxa"/>
            <w:vAlign w:val="bottom"/>
          </w:tcPr>
          <w:p>
            <w:pPr>
              <w:spacing w:after="0"/>
              <w:rPr>
                <w:sz w:val="17"/>
                <w:szCs w:val="17"/>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7"/>
                <w:szCs w:val="17"/>
                <w:color w:val="auto"/>
              </w:rPr>
            </w:pPr>
          </w:p>
        </w:tc>
      </w:tr>
      <w:tr>
        <w:trPr>
          <w:trHeight w:val="250"/>
        </w:trPr>
        <w:tc>
          <w:tcPr>
            <w:tcW w:w="284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80" w:type="dxa"/>
            <w:vAlign w:val="bottom"/>
          </w:tcPr>
          <w:p>
            <w:pPr>
              <w:spacing w:after="0"/>
              <w:rPr>
                <w:sz w:val="21"/>
                <w:szCs w:val="21"/>
                <w:color w:val="auto"/>
              </w:rPr>
            </w:pPr>
          </w:p>
        </w:tc>
        <w:tc>
          <w:tcPr>
            <w:tcW w:w="1680" w:type="dxa"/>
            <w:vAlign w:val="bottom"/>
            <w:gridSpan w:val="4"/>
          </w:tcPr>
          <w:p>
            <w:pPr>
              <w:jc w:val="right"/>
              <w:ind w:right="422"/>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80" w:type="dxa"/>
            <w:vAlign w:val="bottom"/>
            <w:gridSpan w:val="4"/>
          </w:tcPr>
          <w:p>
            <w:pPr>
              <w:jc w:val="right"/>
              <w:ind w:right="362"/>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6"/>
        </w:trPr>
        <w:tc>
          <w:tcPr>
            <w:tcW w:w="2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Compensation and benefits</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14,009</w:t>
            </w:r>
          </w:p>
        </w:tc>
        <w:tc>
          <w:tcPr>
            <w:tcW w:w="36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5,918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8,091</w:t>
            </w:r>
          </w:p>
        </w:tc>
        <w:tc>
          <w:tcPr>
            <w:tcW w:w="26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137 %</w:t>
            </w:r>
          </w:p>
        </w:tc>
        <w:tc>
          <w:tcPr>
            <w:tcW w:w="160" w:type="dxa"/>
            <w:vAlign w:val="bottom"/>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38,119</w:t>
            </w:r>
          </w:p>
        </w:tc>
        <w:tc>
          <w:tcPr>
            <w:tcW w:w="320" w:type="dxa"/>
            <w:vAlign w:val="bottom"/>
            <w:gridSpan w:val="2"/>
            <w:shd w:val="clear" w:color="auto" w:fill="CFF0FC"/>
          </w:tcPr>
          <w:p>
            <w:pPr>
              <w:jc w:val="right"/>
              <w:ind w:right="4"/>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15,818</w:t>
            </w:r>
          </w:p>
        </w:tc>
        <w:tc>
          <w:tcPr>
            <w:tcW w:w="380" w:type="dxa"/>
            <w:vAlign w:val="bottom"/>
            <w:gridSpan w:val="2"/>
            <w:shd w:val="clear" w:color="auto" w:fill="CFF0FC"/>
          </w:tcPr>
          <w:p>
            <w:pPr>
              <w:jc w:val="right"/>
              <w:ind w:right="44"/>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22,301</w:t>
            </w:r>
          </w:p>
        </w:tc>
        <w:tc>
          <w:tcPr>
            <w:tcW w:w="1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141 %</w:t>
            </w:r>
          </w:p>
        </w:tc>
      </w:tr>
      <w:tr>
        <w:trPr>
          <w:trHeight w:val="220"/>
        </w:trPr>
        <w:tc>
          <w:tcPr>
            <w:tcW w:w="284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2,595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(32 )</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(1 )%</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7,856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5,177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2,679</w:t>
            </w:r>
          </w:p>
        </w:tc>
        <w:tc>
          <w:tcPr>
            <w:tcW w:w="1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52 %</w:t>
            </w:r>
          </w:p>
        </w:tc>
      </w:tr>
      <w:tr>
        <w:trPr>
          <w:trHeight w:val="216"/>
        </w:trPr>
        <w:tc>
          <w:tcPr>
            <w:tcW w:w="2840" w:type="dxa"/>
            <w:vAlign w:val="bottom"/>
            <w:shd w:val="clear" w:color="auto" w:fill="CFF0FC"/>
          </w:tcPr>
          <w:p>
            <w:pPr>
              <w:ind w:left="20"/>
              <w:spacing w:after="0"/>
              <w:rPr>
                <w:sz w:val="20"/>
                <w:szCs w:val="20"/>
                <w:color w:val="auto"/>
              </w:rPr>
            </w:pPr>
            <w:r>
              <w:rPr>
                <w:rFonts w:ascii="Arial" w:cs="Arial" w:eastAsia="Arial" w:hAnsi="Arial"/>
                <w:sz w:val="16"/>
                <w:szCs w:val="16"/>
                <w:color w:val="auto"/>
              </w:rPr>
              <w:t>General, administrative</w:t>
            </w: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26"/>
        </w:trPr>
        <w:tc>
          <w:tcPr>
            <w:tcW w:w="28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andother</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3,019</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1,068</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1,951</w:t>
            </w:r>
          </w:p>
        </w:tc>
        <w:tc>
          <w:tcPr>
            <w:tcW w:w="26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183 %</w:t>
            </w: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8,310</w:t>
            </w:r>
          </w:p>
        </w:tc>
        <w:tc>
          <w:tcPr>
            <w:tcW w:w="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3,160</w:t>
            </w:r>
          </w:p>
        </w:tc>
        <w:tc>
          <w:tcPr>
            <w:tcW w:w="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5,150</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163 %</w:t>
            </w:r>
          </w:p>
        </w:tc>
      </w:tr>
      <w:tr>
        <w:trPr>
          <w:trHeight w:val="226"/>
        </w:trPr>
        <w:tc>
          <w:tcPr>
            <w:tcW w:w="2840" w:type="dxa"/>
            <w:vAlign w:val="bottom"/>
          </w:tcPr>
          <w:p>
            <w:pPr>
              <w:ind w:left="20"/>
              <w:spacing w:after="0"/>
              <w:rPr>
                <w:sz w:val="20"/>
                <w:szCs w:val="20"/>
                <w:color w:val="auto"/>
              </w:rPr>
            </w:pPr>
            <w:r>
              <w:rPr>
                <w:rFonts w:ascii="Arial" w:cs="Arial" w:eastAsia="Arial" w:hAnsi="Arial"/>
                <w:sz w:val="16"/>
                <w:szCs w:val="16"/>
                <w:color w:val="auto"/>
              </w:rPr>
              <w:t>Amortization of intangibles</w:t>
            </w: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7,484</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3,572</w:t>
            </w: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3,912</w:t>
            </w:r>
          </w:p>
        </w:tc>
        <w:tc>
          <w:tcPr>
            <w:tcW w:w="260" w:type="dxa"/>
            <w:vAlign w:val="bottom"/>
          </w:tcPr>
          <w:p>
            <w:pPr>
              <w:spacing w:after="0"/>
              <w:rPr>
                <w:sz w:val="19"/>
                <w:szCs w:val="19"/>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6"/>
                <w:szCs w:val="16"/>
                <w:color w:val="auto"/>
              </w:rPr>
              <w:t>110 %</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22,452</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9,606</w:t>
            </w:r>
          </w:p>
        </w:tc>
        <w:tc>
          <w:tcPr>
            <w:tcW w:w="1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12,846</w:t>
            </w:r>
          </w:p>
        </w:tc>
        <w:tc>
          <w:tcPr>
            <w:tcW w:w="14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134 %</w:t>
            </w:r>
          </w:p>
        </w:tc>
      </w:tr>
      <w:tr>
        <w:trPr>
          <w:trHeight w:val="266"/>
        </w:trPr>
        <w:tc>
          <w:tcPr>
            <w:tcW w:w="28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Total operating expenses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27,107</w:t>
            </w:r>
          </w:p>
        </w:tc>
        <w:tc>
          <w:tcPr>
            <w:tcW w:w="18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13,185</w:t>
            </w:r>
          </w:p>
        </w:tc>
        <w:tc>
          <w:tcPr>
            <w:tcW w:w="1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13,922</w:t>
            </w:r>
          </w:p>
        </w:tc>
        <w:tc>
          <w:tcPr>
            <w:tcW w:w="260" w:type="dxa"/>
            <w:vAlign w:val="bottom"/>
            <w:tcBorders>
              <w:bottom w:val="single" w:sz="8" w:color="CFF0FC"/>
            </w:tcBorders>
            <w:shd w:val="clear" w:color="auto" w:fill="CFF0FC"/>
          </w:tcPr>
          <w:p>
            <w:pPr>
              <w:spacing w:after="0"/>
              <w:rPr>
                <w:sz w:val="23"/>
                <w:szCs w:val="23"/>
                <w:color w:val="auto"/>
              </w:rPr>
            </w:pPr>
          </w:p>
        </w:tc>
        <w:tc>
          <w:tcPr>
            <w:tcW w:w="1340" w:type="dxa"/>
            <w:vAlign w:val="bottom"/>
            <w:tcBorders>
              <w:bottom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106 %</w:t>
            </w:r>
          </w:p>
        </w:tc>
        <w:tc>
          <w:tcPr>
            <w:tcW w:w="16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76,737</w:t>
            </w:r>
          </w:p>
        </w:tc>
        <w:tc>
          <w:tcPr>
            <w:tcW w:w="14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jc w:val="right"/>
              <w:ind w:right="4"/>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33,761</w:t>
            </w:r>
          </w:p>
        </w:tc>
        <w:tc>
          <w:tcPr>
            <w:tcW w:w="16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42,976</w:t>
            </w:r>
          </w:p>
        </w:tc>
        <w:tc>
          <w:tcPr>
            <w:tcW w:w="14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127 %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-25400</wp:posOffset>
            </wp:positionV>
            <wp:extent cx="11112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2336800</wp:posOffset>
            </wp:positionH>
            <wp:positionV relativeFrom="paragraph">
              <wp:posOffset>-8255</wp:posOffset>
            </wp:positionV>
            <wp:extent cx="11112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-25400</wp:posOffset>
            </wp:positionV>
            <wp:extent cx="1028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-8255</wp:posOffset>
            </wp:positionV>
            <wp:extent cx="1028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-25400</wp:posOffset>
            </wp:positionV>
            <wp:extent cx="16319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-8255</wp:posOffset>
            </wp:positionV>
            <wp:extent cx="16319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8572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857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-25400</wp:posOffset>
            </wp:positionV>
            <wp:extent cx="10287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-8255</wp:posOffset>
            </wp:positionV>
            <wp:extent cx="10287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857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8572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2021 and September 30, 2020</w:t>
      </w:r>
    </w:p>
    <w:p>
      <w:pPr>
        <w:spacing w:after="0" w:line="13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Total operating expenses increased by $13.9 million, or 106%, to $27.1 million, for the three months ended September 30, 2021 as compared to the three months ended September 30, 2020 primarily driven by increases in compensation and benefits, general and administrative expenses, and amortization of intangibles also attributable to the acquisitions completed in fiscal 2020 and the compensation and benefits attributable to the acquisitions of Hark and Bonaccord during the third quarter of 2021.</w:t>
      </w:r>
    </w:p>
    <w:p>
      <w:pPr>
        <w:spacing w:after="0" w:line="185"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Compensation and benefits expense increased by $8.1 million, or 137%, to $14.0 million for the three months ended September 30, 2021 as compared to the three months ended September 30, 2020. The primary drivers for the increase in compensation and benefits are the acquisitions of TrueBridge and ECG which resulted in a total of $4.3 million additional compensation expense as well as an increase in headcount and compensation related to building out the corporate function as the Company prepared for an initial public offering of $1.6 million. Additionally, there was an increase in compensation cost for acquisition related employee incentive bonuses of $1.6 million from the third quarter of 2020 to the third quarter of 2021. The remaining increase in compensation cost of $0.5 million is driven by increases in salaries at subsidiaries not associated with acquisitions.</w:t>
      </w:r>
    </w:p>
    <w:p>
      <w:pPr>
        <w:spacing w:after="0" w:line="163"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7"/>
          <w:szCs w:val="17"/>
          <w:color w:val="auto"/>
        </w:rPr>
        <w:t>Professional fees decreased by $32 thousand, to $2.6 million. ECG and TrueBridge contributed $0.4 million of additional professional fees for the three months ended September 30, 2021 that did not exist in the three months ended September 30, 2020 as they were acquired later in 2020. This was offset by reductions in professional fees related to the acquisition of ECG and TrueBridge in the three months ended September 30, 2020 that were not recurring in the three months ended September 30, 2021 of $0.3 million as well as non-recurring audit fees at Five Points of $0.2 million in 2020. General, administrative and other increased by $2.0 million, or 183% to $3.0 million due to the full quarter of expenses incurred at TrueBridge and ECG that were not yet acquired at September 30, 2020. This drove $1.7 million of the $2.0 million increase.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2" w:name="page43"/>
    <w:bookmarkEnd w:id="42"/>
    <w:p>
      <w:pPr>
        <w:jc w:val="both"/>
        <w:ind w:firstLine="509"/>
        <w:spacing w:after="0" w:line="279" w:lineRule="auto"/>
        <w:rPr>
          <w:sz w:val="20"/>
          <w:szCs w:val="20"/>
          <w:color w:val="auto"/>
        </w:rPr>
      </w:pPr>
      <w:r>
        <w:rPr>
          <w:rFonts w:ascii="Arial" w:cs="Arial" w:eastAsia="Arial" w:hAnsi="Arial"/>
          <w:sz w:val="18"/>
          <w:szCs w:val="18"/>
          <w:color w:val="auto"/>
        </w:rPr>
        <w:t>Amortization of intangibles increased by $3.9 million, or 110% to $7.5 million, for the three months ended September 30, 2021 as compared to the three months ended September 30, 2020. The increase is due to the addition of $80.4 million of gross finite lived intangible assets in the acquisitions of TrueBridge and ECG.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and September 30, 2020</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Total operating expenses increased by $43.0 million, or 127%, to $76.7 million for the nine months ended September 30, 2021 compared to the nine months ended September 30, 2020. This increase was primarily due to increases in compensation and benefits as well as amortization of intangibles associated with the acquisitions of TrueBridge, Five Points, and ECG completed in fiscal 2020.</w:t>
      </w:r>
    </w:p>
    <w:p>
      <w:pPr>
        <w:spacing w:after="0" w:line="183" w:lineRule="exact"/>
        <w:rPr>
          <w:sz w:val="20"/>
          <w:szCs w:val="20"/>
          <w:color w:val="auto"/>
        </w:rPr>
      </w:pPr>
    </w:p>
    <w:p>
      <w:pPr>
        <w:jc w:val="both"/>
        <w:ind w:firstLine="509"/>
        <w:spacing w:after="0" w:line="309" w:lineRule="auto"/>
        <w:rPr>
          <w:sz w:val="20"/>
          <w:szCs w:val="20"/>
          <w:color w:val="auto"/>
        </w:rPr>
      </w:pPr>
      <w:r>
        <w:rPr>
          <w:rFonts w:ascii="Arial" w:cs="Arial" w:eastAsia="Arial" w:hAnsi="Arial"/>
          <w:sz w:val="16"/>
          <w:szCs w:val="16"/>
          <w:color w:val="auto"/>
        </w:rPr>
        <w:t>Compensation and benefits expense increased by $22.3 million, or 141%, to $38.1 million, for the nine months ended September 30, 2021 compared to the nine months ended September 30, 2020. The primary driver for the increase in compensation and benefits were the acquisitions completed after the second quarter of 2020 which resulted in a total of $13.0 million of additional compensation expense including TrueBridge and ECG. Five Points, which was acquired in Q2 2020, contributed to a full six months of compensation expense which drove $2.3 million of the six months ended change. There was also an increase in headcount and compensation cost related to building out the corporate function as the Company prepared for an initial public offering of $4.5 million. A smaller driver of the increase was $1.6 million in compensation cost for acquisition related employee incentive bonuses. Additionally, there was an increase in compensation cost for employees not associated with TrueBridge, Five Points and ECG acquisitions of $0.8 million.</w:t>
      </w:r>
    </w:p>
    <w:p>
      <w:pPr>
        <w:spacing w:after="0" w:line="164"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Professional fees increased by $2.7 million, or 52%, to $7.9 million and general, administrative and other increased by $5.2 million, or 163% to $8.3 million, due primarily to the acquisitions of TrueBridge, Five Points and ECG. The acquisitions resulted in an increase in professional fees of $1.7 million and an increase in general and administrative costs of $4.7 million for the nine months ended September 30, 2021 as compared to the nine months ended September 30, 2020. Professional fees increased by an additional $1.7 million for the nine months ended September 30, 2021 compared to the nine months ended September 30, 2020 due to additional legal, advisory and tax fees associated with the acquisition transactions of Hark and Bonaccord and the initial public offering. This was offset by a $0.6 million decrease in legal expenses related to borrowings for acquisitions related to ECG and TrueBridge.</w:t>
      </w:r>
    </w:p>
    <w:p>
      <w:pPr>
        <w:spacing w:after="0" w:line="163"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Amortization of intangibles increased by $12.8 million, or 134%, to $22.5 million, for the nine months ended September 30, 2021 as compared to the nine months ended September 30, 2020. The increase is due to the addition of $80.4 million of gross finite lived intangible assets in the acquisitions of TrueBridge, Five Points and ECG.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2021 and September 30, 2020</w:t>
      </w:r>
    </w:p>
    <w:p>
      <w:pPr>
        <w:spacing w:after="0" w:line="131"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Other expenses increased $2.9 million, or 126%, to $5.2 million for the three months ended September 30, 2021 compared to the three months ended September 30, 2020. This increase was primarily due to a $3.2 million increase in interest expense related to the credit and guaranty facility as a result of the $159.4 million principal increases under the credit and guaranty facility to fund the acquisitions of TrueBridge and ECG.</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and September 30, 2020</w:t>
      </w:r>
    </w:p>
    <w:p>
      <w:pPr>
        <w:spacing w:after="0" w:line="131"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Other expenses increased by $8.5 million, or 117%, to $15.8 million for the nine months ended September 30, 2021 compared to the nine months ended September 30, 2020. This increase was primarily due to a $9.3 million increase in interest expense related to the credit and guaranty facility as a result of the $159.4 million principal increases under the credit and guaranty facility to fund the acquisitions of TrueBridge and ECG. This increase was offset by $0.6 million in other income driven by ECG’s pick up of income from unconsolidated subsidiaries in the first nine months of 2021.</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Tax/Benefit Expense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September 30, 2021 and September 30, 2020</w:t>
      </w:r>
    </w:p>
    <w:p>
      <w:pPr>
        <w:spacing w:after="0" w:line="131"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Income tax expense increased by $1.9 million to $1.8 million for the three months ended September 30, 2021 compared to the three months ended September 30, 2020 due to the reduction of deferred tax assets during 2021.</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September 30, 2021 and September 30, 2020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3" w:name="page44"/>
    <w:bookmarkEnd w:id="43"/>
    <w:p>
      <w:pPr>
        <w:ind w:firstLine="509"/>
        <w:spacing w:after="0" w:line="324" w:lineRule="auto"/>
        <w:rPr>
          <w:sz w:val="20"/>
          <w:szCs w:val="20"/>
          <w:color w:val="auto"/>
        </w:rPr>
      </w:pPr>
      <w:r>
        <w:rPr>
          <w:rFonts w:ascii="Arial" w:cs="Arial" w:eastAsia="Arial" w:hAnsi="Arial"/>
          <w:sz w:val="17"/>
          <w:szCs w:val="17"/>
          <w:color w:val="auto"/>
        </w:rPr>
        <w:t>Income tax expense increased by $4.7 million to $3.2 million for the nine months ended September 30, 2021 compared to a benefit of $1.5 million for the nine months ended September 30, 2020. The increase was primarily due to the reduction of deferred tax assets during 2021.</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FPAUM</w:t>
      </w:r>
    </w:p>
    <w:p>
      <w:pPr>
        <w:spacing w:after="0" w:line="131" w:lineRule="exact"/>
        <w:rPr>
          <w:sz w:val="20"/>
          <w:szCs w:val="20"/>
          <w:color w:val="auto"/>
        </w:rPr>
      </w:pPr>
    </w:p>
    <w:p>
      <w:pPr>
        <w:ind w:firstLine="509"/>
        <w:spacing w:after="0" w:line="293" w:lineRule="auto"/>
        <w:rPr>
          <w:sz w:val="20"/>
          <w:szCs w:val="20"/>
          <w:color w:val="auto"/>
        </w:rPr>
      </w:pPr>
      <w:r>
        <w:rPr>
          <w:rFonts w:ascii="Arial" w:cs="Arial" w:eastAsia="Arial" w:hAnsi="Arial"/>
          <w:sz w:val="18"/>
          <w:szCs w:val="18"/>
          <w:color w:val="auto"/>
        </w:rPr>
        <w:t>The following table provides a period-to-period roll-forward of our fee earning AUM on a pro forma basis as if Five Points, True Bridge and ECG were acquired on January 1, 2020.</w:t>
      </w:r>
    </w:p>
    <w:p>
      <w:pPr>
        <w:spacing w:after="0" w:line="188"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 the Three</w:t>
            </w:r>
          </w:p>
        </w:tc>
        <w:tc>
          <w:tcPr>
            <w:tcW w:w="14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For the Three</w:t>
            </w:r>
          </w:p>
        </w:tc>
        <w:tc>
          <w:tcPr>
            <w:tcW w:w="14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For the Nine</w:t>
            </w:r>
          </w:p>
        </w:tc>
        <w:tc>
          <w:tcPr>
            <w:tcW w:w="16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For the Nine</w:t>
            </w:r>
          </w:p>
        </w:tc>
      </w:tr>
      <w:tr>
        <w:trPr>
          <w:trHeight w:val="186"/>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Months Ended</w:t>
            </w:r>
          </w:p>
        </w:tc>
        <w:tc>
          <w:tcPr>
            <w:tcW w:w="14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Months Ended</w:t>
            </w:r>
          </w:p>
        </w:tc>
        <w:tc>
          <w:tcPr>
            <w:tcW w:w="140" w:type="dxa"/>
            <w:vAlign w:val="bottom"/>
          </w:tcPr>
          <w:p>
            <w:pPr>
              <w:spacing w:after="0"/>
              <w:rPr>
                <w:sz w:val="16"/>
                <w:szCs w:val="16"/>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Months Ended</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Months Ended</w:t>
            </w:r>
          </w:p>
        </w:tc>
      </w:tr>
      <w:tr>
        <w:trPr>
          <w:trHeight w:val="203"/>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r>
      <w:tr>
        <w:trPr>
          <w:trHeight w:val="208"/>
        </w:trPr>
        <w:tc>
          <w:tcPr>
            <w:tcW w:w="3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8"/>
                <w:szCs w:val="18"/>
                <w:color w:val="auto"/>
              </w:rPr>
            </w:pPr>
          </w:p>
        </w:tc>
      </w:tr>
      <w:tr>
        <w:trPr>
          <w:trHeight w:val="196"/>
        </w:trPr>
        <w:tc>
          <w:tcPr>
            <w:tcW w:w="3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140" w:type="dxa"/>
            <w:vAlign w:val="bottom"/>
          </w:tcPr>
          <w:p>
            <w:pPr>
              <w:spacing w:after="0"/>
              <w:rPr>
                <w:sz w:val="17"/>
                <w:szCs w:val="17"/>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 millions)</w:t>
            </w:r>
          </w:p>
        </w:tc>
      </w:tr>
      <w:tr>
        <w:trPr>
          <w:trHeight w:val="263"/>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15,082</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12,505</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13,351</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11,894</w:t>
            </w:r>
          </w:p>
        </w:tc>
        <w:tc>
          <w:tcPr>
            <w:tcW w:w="120" w:type="dxa"/>
            <w:vAlign w:val="bottom"/>
            <w:shd w:val="clear" w:color="auto" w:fill="CFF0FC"/>
          </w:tcPr>
          <w:p>
            <w:pPr>
              <w:spacing w:after="0"/>
              <w:rPr>
                <w:sz w:val="22"/>
                <w:szCs w:val="22"/>
                <w:color w:val="auto"/>
              </w:rPr>
            </w:pPr>
          </w:p>
        </w:tc>
      </w:tr>
      <w:tr>
        <w:trPr>
          <w:trHeight w:val="250"/>
        </w:trPr>
        <w:tc>
          <w:tcPr>
            <w:tcW w:w="3740" w:type="dxa"/>
            <w:vAlign w:val="bottom"/>
          </w:tcPr>
          <w:p>
            <w:pPr>
              <w:ind w:left="180"/>
              <w:spacing w:after="0"/>
              <w:rPr>
                <w:sz w:val="20"/>
                <w:szCs w:val="20"/>
                <w:color w:val="auto"/>
              </w:rPr>
            </w:pPr>
            <w:r>
              <w:rPr>
                <w:rFonts w:ascii="Arial" w:cs="Arial" w:eastAsia="Arial" w:hAnsi="Arial"/>
                <w:sz w:val="18"/>
                <w:szCs w:val="18"/>
                <w:color w:val="auto"/>
              </w:rPr>
              <w:t>Add:</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63"/>
        </w:trPr>
        <w:tc>
          <w:tcPr>
            <w:tcW w:w="37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Acquisitions</w:t>
            </w:r>
          </w:p>
        </w:tc>
        <w:tc>
          <w:tcPr>
            <w:tcW w:w="1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3740" w:type="dxa"/>
            <w:vAlign w:val="bottom"/>
          </w:tcPr>
          <w:p>
            <w:pPr>
              <w:ind w:left="360"/>
              <w:spacing w:after="0" w:line="257" w:lineRule="exact"/>
              <w:rPr>
                <w:sz w:val="20"/>
                <w:szCs w:val="20"/>
                <w:color w:val="auto"/>
              </w:rPr>
            </w:pPr>
            <w:r>
              <w:rPr>
                <w:rFonts w:ascii="Arial" w:cs="Arial" w:eastAsia="Arial" w:hAnsi="Arial"/>
                <w:sz w:val="18"/>
                <w:szCs w:val="18"/>
                <w:color w:val="auto"/>
              </w:rPr>
              <w:t xml:space="preserve">Capital raised </w:t>
            </w:r>
            <w:r>
              <w:rPr>
                <w:rFonts w:ascii="Arial" w:cs="Arial" w:eastAsia="Arial" w:hAnsi="Arial"/>
                <w:sz w:val="24"/>
                <w:szCs w:val="24"/>
                <w:color w:val="auto"/>
                <w:vertAlign w:val="superscript"/>
              </w:rPr>
              <w:t>(1)</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1,112</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2,771</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22"/>
                <w:szCs w:val="22"/>
                <w:color w:val="auto"/>
              </w:rPr>
            </w:pPr>
          </w:p>
        </w:tc>
      </w:tr>
      <w:tr>
        <w:trPr>
          <w:trHeight w:val="257"/>
        </w:trPr>
        <w:tc>
          <w:tcPr>
            <w:tcW w:w="3740" w:type="dxa"/>
            <w:vAlign w:val="bottom"/>
            <w:shd w:val="clear" w:color="auto" w:fill="CFF0FC"/>
          </w:tcPr>
          <w:p>
            <w:pPr>
              <w:ind w:left="360"/>
              <w:spacing w:after="0" w:line="257" w:lineRule="exact"/>
              <w:rPr>
                <w:sz w:val="20"/>
                <w:szCs w:val="20"/>
                <w:color w:val="auto"/>
              </w:rPr>
            </w:pPr>
            <w:r>
              <w:rPr>
                <w:rFonts w:ascii="Arial" w:cs="Arial" w:eastAsia="Arial" w:hAnsi="Arial"/>
                <w:sz w:val="18"/>
                <w:szCs w:val="18"/>
                <w:color w:val="auto"/>
              </w:rPr>
              <w:t xml:space="preserve">Capital deployed </w:t>
            </w:r>
            <w:r>
              <w:rPr>
                <w:rFonts w:ascii="Arial" w:cs="Arial" w:eastAsia="Arial" w:hAnsi="Arial"/>
                <w:sz w:val="24"/>
                <w:szCs w:val="24"/>
                <w:color w:val="auto"/>
                <w:vertAlign w:val="superscript"/>
              </w:rPr>
              <w:t>(2)</w:t>
            </w: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431</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120" w:type="dxa"/>
            <w:vAlign w:val="bottom"/>
            <w:shd w:val="clear" w:color="auto" w:fill="CFF0FC"/>
          </w:tcPr>
          <w:p>
            <w:pPr>
              <w:spacing w:after="0"/>
              <w:rPr>
                <w:sz w:val="22"/>
                <w:szCs w:val="22"/>
                <w:color w:val="auto"/>
              </w:rPr>
            </w:pPr>
          </w:p>
        </w:tc>
      </w:tr>
      <w:tr>
        <w:trPr>
          <w:trHeight w:val="256"/>
        </w:trPr>
        <w:tc>
          <w:tcPr>
            <w:tcW w:w="3740" w:type="dxa"/>
            <w:vAlign w:val="bottom"/>
          </w:tcPr>
          <w:p>
            <w:pPr>
              <w:ind w:left="360"/>
              <w:spacing w:after="0" w:line="257" w:lineRule="exact"/>
              <w:rPr>
                <w:sz w:val="20"/>
                <w:szCs w:val="20"/>
                <w:color w:val="auto"/>
              </w:rPr>
            </w:pPr>
            <w:r>
              <w:rPr>
                <w:rFonts w:ascii="Arial" w:cs="Arial" w:eastAsia="Arial" w:hAnsi="Arial"/>
                <w:sz w:val="18"/>
                <w:szCs w:val="18"/>
                <w:color w:val="auto"/>
              </w:rPr>
              <w:t xml:space="preserve">Net Asset Value Change </w:t>
            </w:r>
            <w:r>
              <w:rPr>
                <w:rFonts w:ascii="Arial" w:cs="Arial" w:eastAsia="Arial" w:hAnsi="Arial"/>
                <w:sz w:val="24"/>
                <w:szCs w:val="24"/>
                <w:color w:val="auto"/>
                <w:vertAlign w:val="superscript"/>
              </w:rPr>
              <w:t>(3)</w:t>
            </w:r>
          </w:p>
        </w:tc>
        <w:tc>
          <w:tcPr>
            <w:tcW w:w="1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(1 )</w:t>
            </w:r>
          </w:p>
        </w:tc>
        <w:tc>
          <w:tcPr>
            <w:tcW w:w="1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r>
      <w:tr>
        <w:trPr>
          <w:trHeight w:val="257"/>
        </w:trPr>
        <w:tc>
          <w:tcPr>
            <w:tcW w:w="3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Less:</w:t>
            </w:r>
          </w:p>
        </w:tc>
        <w:tc>
          <w:tcPr>
            <w:tcW w:w="12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r>
      <w:tr>
        <w:trPr>
          <w:trHeight w:val="250"/>
        </w:trPr>
        <w:tc>
          <w:tcPr>
            <w:tcW w:w="3740" w:type="dxa"/>
            <w:vAlign w:val="bottom"/>
          </w:tcPr>
          <w:p>
            <w:pPr>
              <w:ind w:left="360"/>
              <w:spacing w:after="0"/>
              <w:rPr>
                <w:sz w:val="20"/>
                <w:szCs w:val="20"/>
                <w:color w:val="auto"/>
              </w:rPr>
            </w:pPr>
            <w:r>
              <w:rPr>
                <w:rFonts w:ascii="Arial" w:cs="Arial" w:eastAsia="Arial" w:hAnsi="Arial"/>
                <w:sz w:val="18"/>
                <w:szCs w:val="18"/>
                <w:color w:val="auto"/>
              </w:rPr>
              <w:t>Scheduled fee base stepdowns</w:t>
            </w:r>
          </w:p>
        </w:tc>
        <w:tc>
          <w:tcPr>
            <w:tcW w:w="12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(79 )</w:t>
            </w:r>
          </w:p>
        </w:tc>
        <w:tc>
          <w:tcPr>
            <w:tcW w:w="14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(109 )</w:t>
            </w:r>
          </w:p>
        </w:tc>
        <w:tc>
          <w:tcPr>
            <w:tcW w:w="140" w:type="dxa"/>
            <w:vAlign w:val="bottom"/>
          </w:tcPr>
          <w:p>
            <w:pPr>
              <w:spacing w:after="0"/>
              <w:rPr>
                <w:sz w:val="21"/>
                <w:szCs w:val="21"/>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(241 )</w:t>
            </w:r>
          </w:p>
        </w:tc>
        <w:tc>
          <w:tcPr>
            <w:tcW w:w="16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(183 )</w:t>
            </w:r>
          </w:p>
        </w:tc>
      </w:tr>
      <w:tr>
        <w:trPr>
          <w:trHeight w:val="257"/>
        </w:trPr>
        <w:tc>
          <w:tcPr>
            <w:tcW w:w="3740" w:type="dxa"/>
            <w:vAlign w:val="bottom"/>
            <w:shd w:val="clear" w:color="auto" w:fill="CFF0FC"/>
          </w:tcPr>
          <w:p>
            <w:pPr>
              <w:ind w:left="360"/>
              <w:spacing w:after="0"/>
              <w:rPr>
                <w:sz w:val="20"/>
                <w:szCs w:val="20"/>
                <w:color w:val="auto"/>
              </w:rPr>
            </w:pPr>
            <w:r>
              <w:rPr>
                <w:rFonts w:ascii="Arial" w:cs="Arial" w:eastAsia="Arial" w:hAnsi="Arial"/>
                <w:sz w:val="18"/>
                <w:szCs w:val="18"/>
                <w:color w:val="auto"/>
              </w:rPr>
              <w:t>Expiration of fee period</w:t>
            </w:r>
          </w:p>
        </w:tc>
        <w:tc>
          <w:tcPr>
            <w:tcW w:w="12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(18 )</w:t>
            </w:r>
          </w:p>
        </w:tc>
        <w:tc>
          <w:tcPr>
            <w:tcW w:w="14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(19 )</w:t>
            </w:r>
          </w:p>
        </w:tc>
        <w:tc>
          <w:tcPr>
            <w:tcW w:w="140" w:type="dxa"/>
            <w:vAlign w:val="bottom"/>
            <w:shd w:val="clear" w:color="auto" w:fill="CFF0FC"/>
          </w:tcPr>
          <w:p>
            <w:pPr>
              <w:spacing w:after="0"/>
              <w:rPr>
                <w:sz w:val="22"/>
                <w:szCs w:val="22"/>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(61 )</w:t>
            </w:r>
          </w:p>
        </w:tc>
        <w:tc>
          <w:tcPr>
            <w:tcW w:w="160" w:type="dxa"/>
            <w:vAlign w:val="bottom"/>
            <w:shd w:val="clear" w:color="auto" w:fill="CFF0FC"/>
          </w:tcPr>
          <w:p>
            <w:pPr>
              <w:spacing w:after="0"/>
              <w:rPr>
                <w:sz w:val="22"/>
                <w:szCs w:val="22"/>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(33 )</w:t>
            </w:r>
          </w:p>
        </w:tc>
      </w:tr>
      <w:tr>
        <w:trPr>
          <w:trHeight w:val="250"/>
        </w:trPr>
        <w:tc>
          <w:tcPr>
            <w:tcW w:w="374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16,259</w:t>
            </w:r>
          </w:p>
        </w:tc>
        <w:tc>
          <w:tcPr>
            <w:tcW w:w="220" w:type="dxa"/>
            <w:vAlign w:val="bottom"/>
            <w:tcBorders>
              <w:top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12,782</w:t>
            </w:r>
          </w:p>
        </w:tc>
        <w:tc>
          <w:tcPr>
            <w:tcW w:w="200" w:type="dxa"/>
            <w:vAlign w:val="bottom"/>
            <w:tcBorders>
              <w:top w:val="single" w:sz="8" w:color="CFF0FC"/>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16,259</w:t>
            </w:r>
          </w:p>
        </w:tc>
        <w:tc>
          <w:tcPr>
            <w:tcW w:w="200" w:type="dxa"/>
            <w:vAlign w:val="bottom"/>
            <w:tcBorders>
              <w:top w:val="single" w:sz="8" w:color="CFF0FC"/>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12,781</w:t>
            </w:r>
          </w:p>
        </w:tc>
        <w:tc>
          <w:tcPr>
            <w:tcW w:w="120" w:type="dxa"/>
            <w:vAlign w:val="bottom"/>
            <w:tcBorders>
              <w:top w:val="single" w:sz="8" w:color="CFF0FC"/>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-176530</wp:posOffset>
            </wp:positionV>
            <wp:extent cx="14605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-176530</wp:posOffset>
            </wp:positionV>
            <wp:extent cx="128905"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-176530</wp:posOffset>
            </wp:positionV>
            <wp:extent cx="128905"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-176530</wp:posOffset>
            </wp:positionV>
            <wp:extent cx="6858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new commitments from funds that earn fees on a committed capital fee base.</w:t>
      </w:r>
    </w:p>
    <w:p>
      <w:pPr>
        <w:spacing w:after="0" w:line="23" w:lineRule="exact"/>
        <w:rPr>
          <w:rFonts w:ascii="Arial" w:cs="Arial" w:eastAsia="Arial" w:hAnsi="Arial"/>
          <w:sz w:val="18"/>
          <w:szCs w:val="18"/>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certain vehicles, fees are based on capital deployed, as such increasing FPAUM.</w:t>
      </w:r>
    </w:p>
    <w:p>
      <w:pPr>
        <w:spacing w:after="0" w:line="22" w:lineRule="exact"/>
        <w:rPr>
          <w:rFonts w:ascii="Arial" w:cs="Arial" w:eastAsia="Arial" w:hAnsi="Arial"/>
          <w:sz w:val="18"/>
          <w:szCs w:val="18"/>
          <w:color w:val="auto"/>
        </w:rPr>
      </w:pPr>
    </w:p>
    <w:p>
      <w:pPr>
        <w:ind w:left="440" w:hanging="432"/>
        <w:spacing w:after="0" w:line="292"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asset value change consists primarily of the impact of market value appreciation (depreciation) from funds that earn fees on a net asset value basis.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provides a period-to-period roll-forward of our fee-earning AUM on an actual basis.</w:t>
      </w:r>
    </w:p>
    <w:p>
      <w:pPr>
        <w:spacing w:after="0" w:line="257" w:lineRule="exact"/>
        <w:rPr>
          <w:sz w:val="20"/>
          <w:szCs w:val="20"/>
          <w:color w:val="auto"/>
        </w:rPr>
      </w:pPr>
    </w:p>
    <w:tbl>
      <w:tblPr>
        <w:tblLayout w:type="fixed"/>
        <w:tblInd w:w="960" w:type="dxa"/>
        <w:tblCellMar>
          <w:top w:w="0" w:type="dxa"/>
          <w:left w:w="0" w:type="dxa"/>
          <w:bottom w:w="0" w:type="dxa"/>
          <w:right w:w="0" w:type="dxa"/>
        </w:tblCellMar>
      </w:tblPr>
      <w:tr>
        <w:trPr>
          <w:trHeight w:val="175"/>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For the Three</w:t>
            </w:r>
          </w:p>
        </w:tc>
        <w:tc>
          <w:tcPr>
            <w:tcW w:w="180" w:type="dxa"/>
            <w:vAlign w:val="bottom"/>
          </w:tcPr>
          <w:p>
            <w:pPr>
              <w:spacing w:after="0"/>
              <w:rPr>
                <w:sz w:val="15"/>
                <w:szCs w:val="15"/>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For the Three</w:t>
            </w:r>
          </w:p>
        </w:tc>
        <w:tc>
          <w:tcPr>
            <w:tcW w:w="120" w:type="dxa"/>
            <w:vAlign w:val="bottom"/>
          </w:tcPr>
          <w:p>
            <w:pPr>
              <w:spacing w:after="0"/>
              <w:rPr>
                <w:sz w:val="15"/>
                <w:szCs w:val="15"/>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For the Nine</w:t>
            </w:r>
          </w:p>
        </w:tc>
        <w:tc>
          <w:tcPr>
            <w:tcW w:w="10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For the Nine</w:t>
            </w:r>
          </w:p>
        </w:tc>
      </w:tr>
      <w:tr>
        <w:trPr>
          <w:trHeight w:val="186"/>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Months Ended</w:t>
            </w:r>
          </w:p>
        </w:tc>
        <w:tc>
          <w:tcPr>
            <w:tcW w:w="18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Months Ended</w:t>
            </w:r>
          </w:p>
        </w:tc>
        <w:tc>
          <w:tcPr>
            <w:tcW w:w="12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Months Ended</w:t>
            </w:r>
          </w:p>
        </w:tc>
        <w:tc>
          <w:tcPr>
            <w:tcW w:w="100" w:type="dxa"/>
            <w:vAlign w:val="bottom"/>
          </w:tcPr>
          <w:p>
            <w:pPr>
              <w:spacing w:after="0"/>
              <w:rPr>
                <w:sz w:val="16"/>
                <w:szCs w:val="16"/>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Months Ended</w:t>
            </w:r>
          </w:p>
        </w:tc>
      </w:tr>
      <w:tr>
        <w:trPr>
          <w:trHeight w:val="203"/>
        </w:trPr>
        <w:tc>
          <w:tcPr>
            <w:tcW w:w="3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7"/>
                <w:szCs w:val="17"/>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September 30,</w:t>
            </w:r>
          </w:p>
        </w:tc>
        <w:tc>
          <w:tcPr>
            <w:tcW w:w="12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r>
      <w:tr>
        <w:trPr>
          <w:trHeight w:val="208"/>
        </w:trPr>
        <w:tc>
          <w:tcPr>
            <w:tcW w:w="37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2021</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8"/>
                <w:szCs w:val="18"/>
                <w:color w:val="auto"/>
              </w:rPr>
            </w:pPr>
          </w:p>
        </w:tc>
      </w:tr>
      <w:tr>
        <w:trPr>
          <w:trHeight w:val="196"/>
        </w:trPr>
        <w:tc>
          <w:tcPr>
            <w:tcW w:w="3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(in millions)</w:t>
            </w:r>
          </w:p>
        </w:tc>
        <w:tc>
          <w:tcPr>
            <w:tcW w:w="180" w:type="dxa"/>
            <w:vAlign w:val="bottom"/>
          </w:tcPr>
          <w:p>
            <w:pPr>
              <w:spacing w:after="0"/>
              <w:rPr>
                <w:sz w:val="17"/>
                <w:szCs w:val="17"/>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 millions)</w:t>
            </w:r>
          </w:p>
        </w:tc>
        <w:tc>
          <w:tcPr>
            <w:tcW w:w="12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 millions)</w:t>
            </w:r>
          </w:p>
        </w:tc>
      </w:tr>
      <w:tr>
        <w:trPr>
          <w:trHeight w:val="263"/>
        </w:trPr>
        <w:tc>
          <w:tcPr>
            <w:tcW w:w="3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Beginning of Period</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14,172</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7,020</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12,706</w:t>
            </w: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5,770</w:t>
            </w:r>
          </w:p>
        </w:tc>
        <w:tc>
          <w:tcPr>
            <w:tcW w:w="100" w:type="dxa"/>
            <w:vAlign w:val="bottom"/>
            <w:shd w:val="clear" w:color="auto" w:fill="CFF0FC"/>
          </w:tcPr>
          <w:p>
            <w:pPr>
              <w:spacing w:after="0"/>
              <w:rPr>
                <w:sz w:val="22"/>
                <w:szCs w:val="22"/>
                <w:color w:val="auto"/>
              </w:rPr>
            </w:pPr>
          </w:p>
        </w:tc>
      </w:tr>
      <w:tr>
        <w:trPr>
          <w:trHeight w:val="250"/>
        </w:trPr>
        <w:tc>
          <w:tcPr>
            <w:tcW w:w="3700" w:type="dxa"/>
            <w:vAlign w:val="bottom"/>
          </w:tcPr>
          <w:p>
            <w:pPr>
              <w:ind w:left="200"/>
              <w:spacing w:after="0"/>
              <w:rPr>
                <w:sz w:val="20"/>
                <w:szCs w:val="20"/>
                <w:color w:val="auto"/>
              </w:rPr>
            </w:pPr>
            <w:r>
              <w:rPr>
                <w:rFonts w:ascii="Arial" w:cs="Arial" w:eastAsia="Arial" w:hAnsi="Arial"/>
                <w:sz w:val="18"/>
                <w:szCs w:val="18"/>
                <w:color w:val="auto"/>
              </w:rPr>
              <w:t>Add:</w:t>
            </w: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3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Acquisitions</w:t>
            </w: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952</w:t>
            </w: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FF0FC"/>
          </w:tcPr>
          <w:p>
            <w:pPr>
              <w:spacing w:after="0"/>
              <w:rPr>
                <w:sz w:val="22"/>
                <w:szCs w:val="22"/>
                <w:color w:val="auto"/>
              </w:rPr>
            </w:pPr>
          </w:p>
        </w:tc>
      </w:tr>
      <w:tr>
        <w:trPr>
          <w:trHeight w:val="256"/>
        </w:trPr>
        <w:tc>
          <w:tcPr>
            <w:tcW w:w="3700" w:type="dxa"/>
            <w:vAlign w:val="bottom"/>
          </w:tcPr>
          <w:p>
            <w:pPr>
              <w:ind w:left="380"/>
              <w:spacing w:after="0" w:line="257" w:lineRule="exact"/>
              <w:rPr>
                <w:sz w:val="20"/>
                <w:szCs w:val="20"/>
                <w:color w:val="auto"/>
              </w:rPr>
            </w:pPr>
            <w:r>
              <w:rPr>
                <w:rFonts w:ascii="Arial" w:cs="Arial" w:eastAsia="Arial" w:hAnsi="Arial"/>
                <w:sz w:val="18"/>
                <w:szCs w:val="18"/>
                <w:color w:val="auto"/>
              </w:rPr>
              <w:t xml:space="preserve">Capital raised </w:t>
            </w:r>
            <w:r>
              <w:rPr>
                <w:rFonts w:ascii="Arial" w:cs="Arial" w:eastAsia="Arial" w:hAnsi="Arial"/>
                <w:sz w:val="24"/>
                <w:szCs w:val="24"/>
                <w:color w:val="auto"/>
                <w:vertAlign w:val="superscript"/>
              </w:rPr>
              <w:t>(1)</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1,077</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2,443</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22"/>
                <w:szCs w:val="22"/>
                <w:color w:val="auto"/>
              </w:rPr>
            </w:pPr>
          </w:p>
        </w:tc>
      </w:tr>
      <w:tr>
        <w:trPr>
          <w:trHeight w:val="257"/>
        </w:trPr>
        <w:tc>
          <w:tcPr>
            <w:tcW w:w="3700" w:type="dxa"/>
            <w:vAlign w:val="bottom"/>
            <w:shd w:val="clear" w:color="auto" w:fill="CFF0FC"/>
          </w:tcPr>
          <w:p>
            <w:pPr>
              <w:ind w:left="380"/>
              <w:spacing w:after="0" w:line="257" w:lineRule="exact"/>
              <w:rPr>
                <w:sz w:val="20"/>
                <w:szCs w:val="20"/>
                <w:color w:val="auto"/>
              </w:rPr>
            </w:pPr>
            <w:r>
              <w:rPr>
                <w:rFonts w:ascii="Arial" w:cs="Arial" w:eastAsia="Arial" w:hAnsi="Arial"/>
                <w:sz w:val="18"/>
                <w:szCs w:val="18"/>
                <w:color w:val="auto"/>
              </w:rPr>
              <w:t xml:space="preserve">Capital deployed </w:t>
            </w:r>
            <w:r>
              <w:rPr>
                <w:rFonts w:ascii="Arial" w:cs="Arial" w:eastAsia="Arial" w:hAnsi="Arial"/>
                <w:sz w:val="24"/>
                <w:szCs w:val="24"/>
                <w:color w:val="auto"/>
                <w:vertAlign w:val="superscript"/>
              </w:rPr>
              <w:t>(2)</w:t>
            </w: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394</w:t>
            </w: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FF0FC"/>
          </w:tcPr>
          <w:p>
            <w:pPr>
              <w:spacing w:after="0"/>
              <w:rPr>
                <w:sz w:val="22"/>
                <w:szCs w:val="22"/>
                <w:color w:val="auto"/>
              </w:rPr>
            </w:pPr>
          </w:p>
        </w:tc>
      </w:tr>
      <w:tr>
        <w:trPr>
          <w:trHeight w:val="256"/>
        </w:trPr>
        <w:tc>
          <w:tcPr>
            <w:tcW w:w="3700" w:type="dxa"/>
            <w:vAlign w:val="bottom"/>
          </w:tcPr>
          <w:p>
            <w:pPr>
              <w:ind w:left="380"/>
              <w:spacing w:after="0" w:line="257" w:lineRule="exact"/>
              <w:rPr>
                <w:sz w:val="20"/>
                <w:szCs w:val="20"/>
                <w:color w:val="auto"/>
              </w:rPr>
            </w:pPr>
            <w:r>
              <w:rPr>
                <w:rFonts w:ascii="Arial" w:cs="Arial" w:eastAsia="Arial" w:hAnsi="Arial"/>
                <w:sz w:val="18"/>
                <w:szCs w:val="18"/>
                <w:color w:val="auto"/>
              </w:rPr>
              <w:t xml:space="preserve">Net Asset Value Change </w:t>
            </w:r>
            <w:r>
              <w:rPr>
                <w:rFonts w:ascii="Arial" w:cs="Arial" w:eastAsia="Arial" w:hAnsi="Arial"/>
                <w:sz w:val="24"/>
                <w:szCs w:val="24"/>
                <w:color w:val="auto"/>
                <w:vertAlign w:val="superscript"/>
              </w:rPr>
              <w:t>(3)</w:t>
            </w:r>
          </w:p>
        </w:tc>
        <w:tc>
          <w:tcPr>
            <w:tcW w:w="1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(3 )</w:t>
            </w:r>
          </w:p>
        </w:tc>
      </w:tr>
      <w:tr>
        <w:trPr>
          <w:trHeight w:val="257"/>
        </w:trPr>
        <w:tc>
          <w:tcPr>
            <w:tcW w:w="37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w:t>
            </w:r>
          </w:p>
        </w:tc>
        <w:tc>
          <w:tcPr>
            <w:tcW w:w="16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700" w:type="dxa"/>
            <w:vAlign w:val="bottom"/>
          </w:tcPr>
          <w:p>
            <w:pPr>
              <w:ind w:left="380"/>
              <w:spacing w:after="0"/>
              <w:rPr>
                <w:sz w:val="20"/>
                <w:szCs w:val="20"/>
                <w:color w:val="auto"/>
              </w:rPr>
            </w:pPr>
            <w:r>
              <w:rPr>
                <w:rFonts w:ascii="Arial" w:cs="Arial" w:eastAsia="Arial" w:hAnsi="Arial"/>
                <w:sz w:val="18"/>
                <w:szCs w:val="18"/>
                <w:color w:val="auto"/>
              </w:rPr>
              <w:t>Scheduled fee base stepdowns</w:t>
            </w:r>
          </w:p>
        </w:tc>
        <w:tc>
          <w:tcPr>
            <w:tcW w:w="160" w:type="dxa"/>
            <w:vAlign w:val="bottom"/>
          </w:tcPr>
          <w:p>
            <w:pPr>
              <w:spacing w:after="0"/>
              <w:rPr>
                <w:sz w:val="21"/>
                <w:szCs w:val="21"/>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(73 )</w:t>
            </w:r>
          </w:p>
        </w:tc>
        <w:tc>
          <w:tcPr>
            <w:tcW w:w="18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(183 )</w:t>
            </w:r>
          </w:p>
        </w:tc>
        <w:tc>
          <w:tcPr>
            <w:tcW w:w="10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(11 )</w:t>
            </w:r>
          </w:p>
        </w:tc>
      </w:tr>
      <w:tr>
        <w:trPr>
          <w:trHeight w:val="257"/>
        </w:trPr>
        <w:tc>
          <w:tcPr>
            <w:tcW w:w="3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Expiration of fee period</w:t>
            </w:r>
          </w:p>
        </w:tc>
        <w:tc>
          <w:tcPr>
            <w:tcW w:w="16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(45 )</w:t>
            </w:r>
          </w:p>
        </w:tc>
        <w:tc>
          <w:tcPr>
            <w:tcW w:w="180" w:type="dxa"/>
            <w:vAlign w:val="bottom"/>
            <w:shd w:val="clear" w:color="auto" w:fill="CFF0FC"/>
          </w:tcPr>
          <w:p>
            <w:pPr>
              <w:spacing w:after="0"/>
              <w:rPr>
                <w:sz w:val="22"/>
                <w:szCs w:val="22"/>
                <w:color w:val="auto"/>
              </w:rPr>
            </w:pPr>
          </w:p>
        </w:tc>
        <w:tc>
          <w:tcPr>
            <w:tcW w:w="13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(0 )</w:t>
            </w:r>
          </w:p>
        </w:tc>
        <w:tc>
          <w:tcPr>
            <w:tcW w:w="12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FF0FC"/>
          </w:tcPr>
          <w:p>
            <w:pPr>
              <w:spacing w:after="0"/>
              <w:rPr>
                <w:sz w:val="22"/>
                <w:szCs w:val="22"/>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(0 )</w:t>
            </w:r>
          </w:p>
        </w:tc>
      </w:tr>
      <w:tr>
        <w:trPr>
          <w:trHeight w:val="250"/>
        </w:trPr>
        <w:tc>
          <w:tcPr>
            <w:tcW w:w="370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16,259</w:t>
            </w:r>
          </w:p>
        </w:tc>
        <w:tc>
          <w:tcPr>
            <w:tcW w:w="240" w:type="dxa"/>
            <w:vAlign w:val="bottom"/>
            <w:tcBorders>
              <w:top w:val="single" w:sz="8" w:color="CFF0FC"/>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7,320</w:t>
            </w:r>
          </w:p>
        </w:tc>
        <w:tc>
          <w:tcPr>
            <w:tcW w:w="180" w:type="dxa"/>
            <w:vAlign w:val="bottom"/>
            <w:tcBorders>
              <w:top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16,259</w:t>
            </w:r>
          </w:p>
        </w:tc>
        <w:tc>
          <w:tcPr>
            <w:tcW w:w="180" w:type="dxa"/>
            <w:vAlign w:val="bottom"/>
            <w:tcBorders>
              <w:top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7,320</w:t>
            </w:r>
          </w:p>
        </w:tc>
        <w:tc>
          <w:tcPr>
            <w:tcW w:w="100" w:type="dxa"/>
            <w:vAlign w:val="bottom"/>
            <w:tcBorders>
              <w:top w:val="single" w:sz="8" w:color="CFF0FC"/>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-176530</wp:posOffset>
            </wp:positionV>
            <wp:extent cx="15430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-176530</wp:posOffset>
            </wp:positionV>
            <wp:extent cx="111125"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-176530</wp:posOffset>
            </wp:positionV>
            <wp:extent cx="11112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-176530</wp:posOffset>
            </wp:positionV>
            <wp:extent cx="6858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new commitments from funds that earn fees on a committed capital fee base.</w:t>
      </w:r>
    </w:p>
    <w:p>
      <w:pPr>
        <w:spacing w:after="0" w:line="23" w:lineRule="exact"/>
        <w:rPr>
          <w:rFonts w:ascii="Arial" w:cs="Arial" w:eastAsia="Arial" w:hAnsi="Arial"/>
          <w:sz w:val="18"/>
          <w:szCs w:val="18"/>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certain vehicles, fees are based on capital deployed, as such increasing FPAUM.</w:t>
      </w:r>
    </w:p>
    <w:p>
      <w:pPr>
        <w:spacing w:after="0" w:line="22" w:lineRule="exact"/>
        <w:rPr>
          <w:rFonts w:ascii="Arial" w:cs="Arial" w:eastAsia="Arial" w:hAnsi="Arial"/>
          <w:sz w:val="18"/>
          <w:szCs w:val="18"/>
          <w:color w:val="auto"/>
        </w:rPr>
      </w:pPr>
    </w:p>
    <w:p>
      <w:pPr>
        <w:ind w:left="440" w:hanging="432"/>
        <w:spacing w:after="0" w:line="292"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asset value change consists primarily of the impact of market value appreciation (depreciation) from funds that earn fees on a net asset value basis.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FPAUM as of September 30, 2021</w:t>
      </w:r>
    </w:p>
    <w:p>
      <w:pPr>
        <w:spacing w:after="0" w:line="131"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FPAUM increased $1.2 billion, or 7.8%, to $16.3 billion on a pro forma basis and $2.1 billion, or 14.7%, to $16.3 billion on an actual basis for the three months ended September 30, 2021. On a pro forma basis, this increase is due primarily to an increase in capital raised from our private equity and venture capital solutions. On an actual basis, $1.1 billion of the increase is due to the previously mentioned organic growth and $1.0 billion is due to the acquisitions of Hark and Bonaccord. FPAUM increased $2.9 billion, or 21.8%, to $16.3 billion on a pro forma basis and $3.6 billion or 28.0% to $16.3 billion on an actual</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4" w:name="page45"/>
    <w:bookmarkEnd w:id="44"/>
    <w:p>
      <w:pPr>
        <w:jc w:val="both"/>
        <w:spacing w:after="0" w:line="275" w:lineRule="auto"/>
        <w:rPr>
          <w:sz w:val="20"/>
          <w:szCs w:val="20"/>
          <w:color w:val="auto"/>
        </w:rPr>
      </w:pPr>
      <w:r>
        <w:rPr>
          <w:rFonts w:ascii="Arial" w:cs="Arial" w:eastAsia="Arial" w:hAnsi="Arial"/>
          <w:sz w:val="18"/>
          <w:szCs w:val="18"/>
          <w:color w:val="auto"/>
        </w:rPr>
        <w:t>basis for the nine months ended September 30, 2021, due primarily to an increase in capital raised from our private equity and venture capital solutions. Our FPAUM growth and concentration across solutions and vehicles has been relatively consistent over time but can vary in particular periods due to the systematic fundraising cycles of new funds, which typically lasts 12-24 months. We expect to continue to expand our fundraising efforts and grow FPAUM with the launch of new specialized investment vehicles and asset class solutions.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43"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170"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our actual cash flows generated by our core operations. ANI is calculated as Adjusted EBITDA, less actual cash paid for interest and federal and state income taxes.</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order to compute Adjusted EBITDA, we adjust our GAAP net income for the following items:</w:t>
      </w:r>
    </w:p>
    <w:p>
      <w:pPr>
        <w:spacing w:after="0" w:line="131"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Expenses that typically do not require us to pay them in cash in the current period (such as depreciation, amortization and stock-based compensation),</w:t>
      </w:r>
    </w:p>
    <w:p>
      <w:pPr>
        <w:spacing w:after="0" w:line="6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cost of financing our business,</w:t>
      </w:r>
    </w:p>
    <w:p>
      <w:pPr>
        <w:spacing w:after="0" w:line="131" w:lineRule="exact"/>
        <w:rPr>
          <w:sz w:val="20"/>
          <w:szCs w:val="20"/>
          <w:color w:val="auto"/>
        </w:rPr>
      </w:pPr>
    </w:p>
    <w:p>
      <w:pPr>
        <w:ind w:left="960"/>
        <w:spacing w:after="0" w:line="293" w:lineRule="auto"/>
        <w:rPr>
          <w:sz w:val="20"/>
          <w:szCs w:val="20"/>
          <w:color w:val="auto"/>
        </w:rPr>
      </w:pPr>
      <w:r>
        <w:rPr>
          <w:rFonts w:ascii="Arial" w:cs="Arial" w:eastAsia="Arial" w:hAnsi="Arial"/>
          <w:sz w:val="18"/>
          <w:szCs w:val="18"/>
          <w:color w:val="auto"/>
        </w:rPr>
        <w:t>Acquisition-related expenses which reflects the actual costs incurred during the period for the acquisition of new businesses, which primarily consists of fees for professional services including legal, accounting, and advisory,</w:t>
      </w:r>
    </w:p>
    <w:p>
      <w:pPr>
        <w:spacing w:after="0" w:line="62" w:lineRule="exact"/>
        <w:rPr>
          <w:sz w:val="20"/>
          <w:szCs w:val="20"/>
          <w:color w:val="auto"/>
        </w:rPr>
      </w:pPr>
    </w:p>
    <w:p>
      <w:pPr>
        <w:ind w:left="960"/>
        <w:spacing w:after="0" w:line="359" w:lineRule="auto"/>
        <w:rPr>
          <w:sz w:val="20"/>
          <w:szCs w:val="20"/>
          <w:color w:val="auto"/>
        </w:rPr>
      </w:pPr>
      <w:r>
        <w:rPr>
          <w:rFonts w:ascii="Arial" w:cs="Arial" w:eastAsia="Arial" w:hAnsi="Arial"/>
          <w:sz w:val="16"/>
          <w:szCs w:val="16"/>
          <w:color w:val="auto"/>
        </w:rPr>
        <w:t>Registration-related expenses includes professional services associated with our prospectus process incurred during the period, and does not reflect expected regulatory, compliance, and other costs associated with which may be incurred subsequent to our Initial Public Offering, and</w:t>
      </w:r>
    </w:p>
    <w:p>
      <w:pPr>
        <w:spacing w:after="0" w:line="17"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effects of income taxes.</w:t>
      </w:r>
    </w:p>
    <w:p>
      <w:pPr>
        <w:spacing w:after="0" w:line="239" w:lineRule="exact"/>
        <w:rPr>
          <w:sz w:val="20"/>
          <w:szCs w:val="20"/>
          <w:color w:val="auto"/>
        </w:rPr>
      </w:pPr>
    </w:p>
    <w:p>
      <w:pPr>
        <w:jc w:val="both"/>
        <w:ind w:firstLine="509"/>
        <w:spacing w:after="0" w:line="329" w:lineRule="auto"/>
        <w:rPr>
          <w:sz w:val="20"/>
          <w:szCs w:val="20"/>
          <w:color w:val="auto"/>
        </w:rPr>
      </w:pPr>
      <w:r>
        <w:rPr>
          <w:rFonts w:ascii="Arial" w:cs="Arial" w:eastAsia="Arial" w:hAnsi="Arial"/>
          <w:sz w:val="16"/>
          <w:szCs w:val="16"/>
          <w:color w:val="auto"/>
        </w:rPr>
        <w:t>Adjusted Net Income reflects the cash payments made for interest, which differs significantly from total interest expense that includes non-cash interest on the non-interest-bearing Seller Notes related to our acquisitions of RCP 2 and RCP 3. Similarly, the cash income taxes paid during the periods is significantly lower than the net income tax benefit, which is primarily comprised of deferred tax expense as described in the results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3"/>
          </w:tcPr>
          <w:p>
            <w:pPr>
              <w:jc w:val="center"/>
              <w:ind w:left="537"/>
              <w:spacing w:after="0"/>
              <w:rPr>
                <w:sz w:val="20"/>
                <w:szCs w:val="20"/>
                <w:color w:val="auto"/>
              </w:rPr>
            </w:pPr>
            <w:r>
              <w:rPr>
                <w:rFonts w:ascii="Arial" w:cs="Arial" w:eastAsia="Arial" w:hAnsi="Arial"/>
                <w:sz w:val="14"/>
                <w:szCs w:val="14"/>
                <w:b w:val="1"/>
                <w:bCs w:val="1"/>
                <w:color w:val="auto"/>
                <w:w w:val="96"/>
              </w:rPr>
              <w:t>For the Three</w:t>
            </w: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20" w:type="dxa"/>
            <w:vAlign w:val="bottom"/>
            <w:gridSpan w:val="3"/>
          </w:tcPr>
          <w:p>
            <w:pPr>
              <w:jc w:val="center"/>
              <w:ind w:left="416"/>
              <w:spacing w:after="0"/>
              <w:rPr>
                <w:sz w:val="20"/>
                <w:szCs w:val="20"/>
                <w:color w:val="auto"/>
              </w:rPr>
            </w:pPr>
            <w:r>
              <w:rPr>
                <w:rFonts w:ascii="Arial" w:cs="Arial" w:eastAsia="Arial" w:hAnsi="Arial"/>
                <w:sz w:val="14"/>
                <w:szCs w:val="14"/>
                <w:b w:val="1"/>
                <w:bCs w:val="1"/>
                <w:color w:val="auto"/>
                <w:w w:val="94"/>
              </w:rPr>
              <w:t>For the Nine Months</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3"/>
          </w:tcPr>
          <w:p>
            <w:pPr>
              <w:jc w:val="center"/>
              <w:ind w:left="537"/>
              <w:spacing w:after="0"/>
              <w:rPr>
                <w:sz w:val="20"/>
                <w:szCs w:val="20"/>
                <w:color w:val="auto"/>
              </w:rPr>
            </w:pPr>
            <w:r>
              <w:rPr>
                <w:rFonts w:ascii="Arial" w:cs="Arial" w:eastAsia="Arial" w:hAnsi="Arial"/>
                <w:sz w:val="14"/>
                <w:szCs w:val="14"/>
                <w:b w:val="1"/>
                <w:bCs w:val="1"/>
                <w:color w:val="auto"/>
                <w:w w:val="93"/>
              </w:rPr>
              <w:t>Months Ended</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gridSpan w:val="3"/>
          </w:tcPr>
          <w:p>
            <w:pPr>
              <w:jc w:val="center"/>
              <w:ind w:left="416"/>
              <w:spacing w:after="0"/>
              <w:rPr>
                <w:sz w:val="20"/>
                <w:szCs w:val="20"/>
                <w:color w:val="auto"/>
              </w:rPr>
            </w:pPr>
            <w:r>
              <w:rPr>
                <w:rFonts w:ascii="Arial" w:cs="Arial" w:eastAsia="Arial" w:hAnsi="Arial"/>
                <w:sz w:val="14"/>
                <w:szCs w:val="14"/>
                <w:b w:val="1"/>
                <w:bCs w:val="1"/>
                <w:color w:val="auto"/>
                <w:w w:val="93"/>
              </w:rPr>
              <w:t>Ended</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9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center"/>
              <w:ind w:left="557"/>
              <w:spacing w:after="0"/>
              <w:rPr>
                <w:sz w:val="20"/>
                <w:szCs w:val="20"/>
                <w:color w:val="auto"/>
              </w:rPr>
            </w:pPr>
            <w:r>
              <w:rPr>
                <w:rFonts w:ascii="Arial" w:cs="Arial" w:eastAsia="Arial" w:hAnsi="Arial"/>
                <w:sz w:val="14"/>
                <w:szCs w:val="14"/>
                <w:b w:val="1"/>
                <w:bCs w:val="1"/>
                <w:color w:val="auto"/>
                <w:w w:val="91"/>
              </w:rPr>
              <w:t>September 30,</w:t>
            </w:r>
          </w:p>
        </w:tc>
        <w:tc>
          <w:tcPr>
            <w:tcW w:w="9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center"/>
              <w:ind w:left="416"/>
              <w:spacing w:after="0"/>
              <w:rPr>
                <w:sz w:val="20"/>
                <w:szCs w:val="20"/>
                <w:color w:val="auto"/>
              </w:rPr>
            </w:pPr>
            <w:r>
              <w:rPr>
                <w:rFonts w:ascii="Arial" w:cs="Arial" w:eastAsia="Arial" w:hAnsi="Arial"/>
                <w:sz w:val="14"/>
                <w:szCs w:val="14"/>
                <w:b w:val="1"/>
                <w:bCs w:val="1"/>
                <w:color w:val="auto"/>
                <w:w w:val="91"/>
              </w:rPr>
              <w:t>September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60" w:type="dxa"/>
            <w:vAlign w:val="bottom"/>
            <w:gridSpan w:val="3"/>
          </w:tcPr>
          <w:p>
            <w:pPr>
              <w:jc w:val="center"/>
              <w:ind w:left="557"/>
              <w:spacing w:after="0"/>
              <w:rPr>
                <w:sz w:val="20"/>
                <w:szCs w:val="20"/>
                <w:color w:val="auto"/>
              </w:rPr>
            </w:pPr>
            <w:r>
              <w:rPr>
                <w:rFonts w:ascii="Arial" w:cs="Arial" w:eastAsia="Arial" w:hAnsi="Arial"/>
                <w:sz w:val="14"/>
                <w:szCs w:val="14"/>
                <w:b w:val="1"/>
                <w:bCs w:val="1"/>
                <w:color w:val="auto"/>
                <w:w w:val="91"/>
              </w:rPr>
              <w:t>(in thousands)</w:t>
            </w: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20" w:type="dxa"/>
            <w:vAlign w:val="bottom"/>
            <w:gridSpan w:val="3"/>
          </w:tcPr>
          <w:p>
            <w:pPr>
              <w:jc w:val="center"/>
              <w:ind w:left="416"/>
              <w:spacing w:after="0"/>
              <w:rPr>
                <w:sz w:val="20"/>
                <w:szCs w:val="20"/>
                <w:color w:val="auto"/>
              </w:rPr>
            </w:pPr>
            <w:r>
              <w:rPr>
                <w:rFonts w:ascii="Arial" w:cs="Arial" w:eastAsia="Arial" w:hAnsi="Arial"/>
                <w:sz w:val="14"/>
                <w:szCs w:val="14"/>
                <w:b w:val="1"/>
                <w:bCs w:val="1"/>
                <w:color w:val="auto"/>
                <w:w w:val="91"/>
              </w:rPr>
              <w:t>(in thousands)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4,078</w:t>
            </w: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9,260</w:t>
            </w:r>
          </w:p>
        </w:tc>
        <w:tc>
          <w:tcPr>
            <w:tcW w:w="240" w:type="dxa"/>
            <w:vAlign w:val="bottom"/>
            <w:shd w:val="clear" w:color="auto" w:fill="CFF0FC"/>
          </w:tcPr>
          <w:p>
            <w:pPr>
              <w:spacing w:after="0"/>
              <w:rPr>
                <w:sz w:val="22"/>
                <w:szCs w:val="22"/>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3,186</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Add back (subtract):</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&amp; amortization</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7,553</w:t>
            </w: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3,579</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22,654</w:t>
            </w:r>
          </w:p>
        </w:tc>
        <w:tc>
          <w:tcPr>
            <w:tcW w:w="2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9,627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5,484</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2,325</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16,418</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7,269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 (benefit)/expense</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1,759</w:t>
            </w: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(175 )</w:t>
            </w: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3,154</w:t>
            </w:r>
          </w:p>
        </w:tc>
        <w:tc>
          <w:tcPr>
            <w:tcW w:w="2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(1,513 )</w:t>
            </w:r>
          </w:p>
        </w:tc>
        <w:tc>
          <w:tcPr>
            <w:tcW w:w="0" w:type="dxa"/>
            <w:vAlign w:val="bottom"/>
          </w:tcPr>
          <w:p>
            <w:pPr>
              <w:spacing w:after="0"/>
              <w:rPr>
                <w:sz w:val="1"/>
                <w:szCs w:val="1"/>
                <w:color w:val="auto"/>
              </w:rPr>
            </w:pPr>
          </w:p>
        </w:tc>
      </w:tr>
      <w:tr>
        <w:trPr>
          <w:trHeight w:val="250"/>
        </w:trPr>
        <w:tc>
          <w:tcPr>
            <w:tcW w:w="4900" w:type="dxa"/>
            <w:vAlign w:val="bottom"/>
          </w:tcPr>
          <w:p>
            <w:pPr>
              <w:ind w:left="200"/>
              <w:spacing w:after="0"/>
              <w:rPr>
                <w:sz w:val="20"/>
                <w:szCs w:val="20"/>
                <w:color w:val="auto"/>
              </w:rPr>
            </w:pPr>
            <w:r>
              <w:rPr>
                <w:rFonts w:ascii="Arial" w:cs="Arial" w:eastAsia="Arial" w:hAnsi="Arial"/>
                <w:sz w:val="18"/>
                <w:szCs w:val="18"/>
                <w:color w:val="auto"/>
              </w:rPr>
              <w:t>Non-recurring expenses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2,422</w:t>
            </w: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2,800</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3,833</w:t>
            </w:r>
          </w:p>
        </w:tc>
        <w:tc>
          <w:tcPr>
            <w:tcW w:w="2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Non-cash stock based compensation</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1,452</w:t>
            </w:r>
          </w:p>
        </w:tc>
        <w:tc>
          <w:tcPr>
            <w:tcW w:w="2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507"/>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Adjusted EBITDA</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21,757</w:t>
            </w:r>
          </w:p>
        </w:tc>
        <w:tc>
          <w:tcPr>
            <w:tcW w:w="2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8,781</w:t>
            </w: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56,771</w:t>
            </w:r>
          </w:p>
        </w:tc>
        <w:tc>
          <w:tcPr>
            <w:tcW w:w="24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Less:</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9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900" w:type="dxa"/>
            <w:vAlign w:val="bottom"/>
          </w:tcPr>
          <w:p>
            <w:pPr>
              <w:ind w:left="200"/>
              <w:spacing w:after="0"/>
              <w:rPr>
                <w:sz w:val="20"/>
                <w:szCs w:val="20"/>
                <w:color w:val="auto"/>
              </w:rPr>
            </w:pPr>
            <w:r>
              <w:rPr>
                <w:rFonts w:ascii="Arial" w:cs="Arial" w:eastAsia="Arial" w:hAnsi="Arial"/>
                <w:sz w:val="18"/>
                <w:szCs w:val="18"/>
                <w:color w:val="auto"/>
              </w:rPr>
              <w:t>Cash interest expense, net</w:t>
            </w:r>
          </w:p>
        </w:tc>
        <w:tc>
          <w:tcPr>
            <w:tcW w:w="3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(4,555 )</w:t>
            </w:r>
          </w:p>
        </w:tc>
        <w:tc>
          <w:tcPr>
            <w:tcW w:w="420" w:type="dxa"/>
            <w:vAlign w:val="bottom"/>
          </w:tcPr>
          <w:p>
            <w:pPr>
              <w:spacing w:after="0"/>
              <w:rPr>
                <w:sz w:val="21"/>
                <w:szCs w:val="21"/>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(1,529 )</w:t>
            </w:r>
          </w:p>
        </w:tc>
        <w:tc>
          <w:tcPr>
            <w:tcW w:w="3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(13,712 )</w:t>
            </w:r>
          </w:p>
        </w:tc>
        <w:tc>
          <w:tcPr>
            <w:tcW w:w="54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(6,172 )</w:t>
            </w:r>
          </w:p>
        </w:tc>
        <w:tc>
          <w:tcPr>
            <w:tcW w:w="0" w:type="dxa"/>
            <w:vAlign w:val="bottom"/>
          </w:tcPr>
          <w:p>
            <w:pPr>
              <w:spacing w:after="0"/>
              <w:rPr>
                <w:sz w:val="1"/>
                <w:szCs w:val="1"/>
                <w:color w:val="auto"/>
              </w:rPr>
            </w:pPr>
          </w:p>
        </w:tc>
      </w:tr>
      <w:tr>
        <w:trPr>
          <w:trHeight w:val="249"/>
        </w:trPr>
        <w:tc>
          <w:tcPr>
            <w:tcW w:w="49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income taxes, net of taxes related to</w:t>
            </w:r>
          </w:p>
        </w:tc>
        <w:tc>
          <w:tcPr>
            <w:tcW w:w="320" w:type="dxa"/>
            <w:vAlign w:val="bottom"/>
            <w:shd w:val="clear" w:color="auto" w:fill="CFF0FC"/>
          </w:tcPr>
          <w:p>
            <w:pPr>
              <w:spacing w:after="0"/>
              <w:rPr>
                <w:sz w:val="21"/>
                <w:szCs w:val="21"/>
                <w:color w:val="auto"/>
              </w:rPr>
            </w:pPr>
          </w:p>
        </w:tc>
        <w:tc>
          <w:tcPr>
            <w:tcW w:w="13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(1,046 )</w:t>
            </w:r>
          </w:p>
        </w:tc>
        <w:tc>
          <w:tcPr>
            <w:tcW w:w="420" w:type="dxa"/>
            <w:vAlign w:val="bottom"/>
            <w:shd w:val="clear" w:color="auto" w:fill="CFF0FC"/>
          </w:tcPr>
          <w:p>
            <w:pPr>
              <w:spacing w:after="0"/>
              <w:rPr>
                <w:sz w:val="21"/>
                <w:szCs w:val="21"/>
                <w:color w:val="auto"/>
              </w:rPr>
            </w:pPr>
          </w:p>
        </w:tc>
        <w:tc>
          <w:tcPr>
            <w:tcW w:w="12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(689 )</w:t>
            </w:r>
          </w:p>
        </w:tc>
        <w:tc>
          <w:tcPr>
            <w:tcW w:w="320" w:type="dxa"/>
            <w:vAlign w:val="bottom"/>
            <w:shd w:val="clear" w:color="auto" w:fill="CFF0FC"/>
          </w:tcPr>
          <w:p>
            <w:pPr>
              <w:spacing w:after="0"/>
              <w:rPr>
                <w:sz w:val="21"/>
                <w:szCs w:val="21"/>
                <w:color w:val="auto"/>
              </w:rPr>
            </w:pPr>
          </w:p>
        </w:tc>
        <w:tc>
          <w:tcPr>
            <w:tcW w:w="12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(2,192 )</w:t>
            </w:r>
          </w:p>
        </w:tc>
        <w:tc>
          <w:tcPr>
            <w:tcW w:w="540" w:type="dxa"/>
            <w:vAlign w:val="bottom"/>
            <w:shd w:val="clear" w:color="auto" w:fill="CFF0FC"/>
          </w:tcPr>
          <w:p>
            <w:pPr>
              <w:spacing w:after="0"/>
              <w:rPr>
                <w:sz w:val="21"/>
                <w:szCs w:val="21"/>
                <w:color w:val="auto"/>
              </w:rPr>
            </w:pPr>
          </w:p>
        </w:tc>
        <w:tc>
          <w:tcPr>
            <w:tcW w:w="9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(938 )</w:t>
            </w:r>
          </w:p>
        </w:tc>
        <w:tc>
          <w:tcPr>
            <w:tcW w:w="0" w:type="dxa"/>
            <w:vAlign w:val="bottom"/>
          </w:tcPr>
          <w:p>
            <w:pPr>
              <w:spacing w:after="0"/>
              <w:rPr>
                <w:sz w:val="1"/>
                <w:szCs w:val="1"/>
                <w:color w:val="auto"/>
              </w:rPr>
            </w:pPr>
          </w:p>
        </w:tc>
      </w:tr>
      <w:tr>
        <w:trPr>
          <w:trHeight w:val="230"/>
        </w:trPr>
        <w:tc>
          <w:tcPr>
            <w:tcW w:w="49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acquisitions</w:t>
            </w:r>
          </w:p>
        </w:tc>
        <w:tc>
          <w:tcPr>
            <w:tcW w:w="320" w:type="dxa"/>
            <w:vAlign w:val="bottom"/>
            <w:shd w:val="clear" w:color="auto" w:fill="CFF0FC"/>
          </w:tcPr>
          <w:p>
            <w:pPr>
              <w:spacing w:after="0"/>
              <w:rPr>
                <w:sz w:val="20"/>
                <w:szCs w:val="20"/>
                <w:color w:val="auto"/>
              </w:rPr>
            </w:pPr>
          </w:p>
        </w:tc>
        <w:tc>
          <w:tcPr>
            <w:tcW w:w="1340" w:type="dxa"/>
            <w:vAlign w:val="bottom"/>
            <w:gridSpan w:val="2"/>
            <w:vMerge w:val="continue"/>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280" w:type="dxa"/>
            <w:vAlign w:val="bottom"/>
            <w:gridSpan w:val="2"/>
            <w:vMerge w:val="continue"/>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9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90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Adjusted Net Income</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16,156</w:t>
            </w:r>
          </w:p>
        </w:tc>
        <w:tc>
          <w:tcPr>
            <w:tcW w:w="280" w:type="dxa"/>
            <w:vAlign w:val="bottom"/>
            <w:tcBorders>
              <w:top w:val="single" w:sz="8" w:color="CFF0FC"/>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6,563</w:t>
            </w:r>
          </w:p>
        </w:tc>
        <w:tc>
          <w:tcPr>
            <w:tcW w:w="240" w:type="dxa"/>
            <w:vAlign w:val="bottom"/>
            <w:tcBorders>
              <w:top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40,867</w:t>
            </w:r>
          </w:p>
        </w:tc>
        <w:tc>
          <w:tcPr>
            <w:tcW w:w="240" w:type="dxa"/>
            <w:vAlign w:val="bottom"/>
            <w:tcBorders>
              <w:top w:val="single" w:sz="8" w:color="CFF0FC"/>
            </w:tcBorders>
          </w:tcPr>
          <w:p>
            <w:pPr>
              <w:spacing w:after="0"/>
              <w:rPr>
                <w:sz w:val="21"/>
                <w:szCs w:val="21"/>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15,393</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4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497"/>
              <w:spacing w:after="0"/>
              <w:rPr>
                <w:sz w:val="20"/>
                <w:szCs w:val="20"/>
                <w:color w:val="auto"/>
              </w:rPr>
            </w:pPr>
            <w:r>
              <w:rPr>
                <w:rFonts w:ascii="Arial" w:cs="Arial" w:eastAsia="Arial" w:hAnsi="Arial"/>
                <w:sz w:val="14"/>
                <w:szCs w:val="14"/>
                <w:color w:val="auto"/>
              </w:rPr>
              <w:t>43</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49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-647700</wp:posOffset>
            </wp:positionV>
            <wp:extent cx="17145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-647700</wp:posOffset>
            </wp:positionV>
            <wp:extent cx="154305"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-647700</wp:posOffset>
            </wp:positionV>
            <wp:extent cx="154305"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-647700</wp:posOffset>
            </wp:positionV>
            <wp:extent cx="5969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Statements of Financial Position</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3"/>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center"/>
              <w:ind w:right="97"/>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8"/>
        </w:trPr>
        <w:tc>
          <w:tcPr>
            <w:tcW w:w="49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8"/>
                <w:szCs w:val="18"/>
                <w:color w:val="auto"/>
              </w:rPr>
            </w:pPr>
          </w:p>
        </w:tc>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8"/>
                <w:szCs w:val="18"/>
                <w:color w:val="auto"/>
              </w:rPr>
            </w:pPr>
          </w:p>
        </w:tc>
      </w:tr>
      <w:tr>
        <w:trPr>
          <w:trHeight w:val="196"/>
        </w:trPr>
        <w:tc>
          <w:tcPr>
            <w:tcW w:w="4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gridSpan w:val="4"/>
          </w:tcPr>
          <w:p>
            <w:pPr>
              <w:jc w:val="right"/>
              <w:ind w:right="996"/>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6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21,656</w:t>
            </w:r>
          </w:p>
        </w:tc>
        <w:tc>
          <w:tcPr>
            <w:tcW w:w="4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11,773</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9,883</w:t>
            </w:r>
          </w:p>
        </w:tc>
        <w:tc>
          <w:tcPr>
            <w:tcW w:w="16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84 %</w:t>
            </w: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Goodwill and other intangibles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553,707</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513,720</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39,987</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8 %</w:t>
            </w:r>
          </w:p>
        </w:tc>
      </w:tr>
      <w:tr>
        <w:trPr>
          <w:trHeight w:val="26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644,246</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582,426</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61,820</w:t>
            </w:r>
          </w:p>
        </w:tc>
        <w:tc>
          <w:tcPr>
            <w:tcW w:w="16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11 %</w:t>
            </w:r>
          </w:p>
        </w:tc>
      </w:tr>
      <w:tr>
        <w:trPr>
          <w:trHeight w:val="250"/>
        </w:trPr>
        <w:tc>
          <w:tcPr>
            <w:tcW w:w="4900" w:type="dxa"/>
            <w:vAlign w:val="bottom"/>
          </w:tcPr>
          <w:p>
            <w:pPr>
              <w:ind w:left="20"/>
              <w:spacing w:after="0"/>
              <w:rPr>
                <w:sz w:val="20"/>
                <w:szCs w:val="20"/>
                <w:color w:val="auto"/>
              </w:rPr>
            </w:pPr>
            <w:r>
              <w:rPr>
                <w:rFonts w:ascii="Arial" w:cs="Arial" w:eastAsia="Arial" w:hAnsi="Arial"/>
                <w:sz w:val="18"/>
                <w:szCs w:val="18"/>
                <w:color w:val="auto"/>
              </w:rPr>
              <w:t>Debt obligations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315,517</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290,055</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25,462</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9 %</w:t>
            </w:r>
          </w:p>
        </w:tc>
      </w:tr>
      <w:tr>
        <w:trPr>
          <w:trHeight w:val="263"/>
        </w:trPr>
        <w:tc>
          <w:tcPr>
            <w:tcW w:w="4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Redeemable noncontrolling interest</w:t>
            </w:r>
          </w:p>
        </w:tc>
        <w:tc>
          <w:tcPr>
            <w:tcW w:w="18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199,202</w:t>
            </w:r>
          </w:p>
        </w:tc>
        <w:tc>
          <w:tcPr>
            <w:tcW w:w="24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198,439</w:t>
            </w:r>
          </w:p>
        </w:tc>
        <w:tc>
          <w:tcPr>
            <w:tcW w:w="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763</w:t>
            </w:r>
          </w:p>
        </w:tc>
        <w:tc>
          <w:tcPr>
            <w:tcW w:w="168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0 %</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69,070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59,841</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9,229</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15 %</w:t>
            </w:r>
          </w:p>
        </w:tc>
      </w:tr>
    </w:tbl>
    <w:p>
      <w:pPr>
        <w:spacing w:after="0" w:line="269"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There was an increase in cash from $11.8 million as of December 31, 2020 to $21.7 million as of September 30, 2021 due to excess operating cash flows. There was an increase in goodwill and intangible assets of $22.4 million due to the acquisitions of Hark and Bonaccord offset by a $7.4 million reduction from December 31, 2020 to September 30, 2021 due to amortization of intangibles during the nine months ended September 30, 2021. Remaining total assets also increased in the same period by $5.4 million of restricted cash due to cash held by ECG in escrow for deals not yet closed and an increase in receivables due to ECG's Advisory Agreement with Enhanced PC. Additionally, amounts due to related parties increased by $2.3 million due to the related party note agreement balance between BCP and Bonaccord Partners Holdings as of September 30, 2021. The Company also paid down debt obligations of $12.3 million in the nine months ended September 30, 2021 which was offset by an increase in principal by $35.0 million related to the acquisitions of Hark Capital and Bonaccord Capital.</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Liquidity and Capital Resources</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We have continued to support our ongoing operations through the receipt of management and advisory fee revenues. However, to fund our continued growth, we have utilized capital obtained through debt and equity raises. Our ability to continue to raise funds will be critical as we pursue additional business development opportunities and new acquisitions.</w:t>
      </w:r>
    </w:p>
    <w:p>
      <w:pPr>
        <w:spacing w:after="0" w:line="183"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In order to fund the acquisitions of RCP 2, in October 2017, the Company issued non-interest bearing Secured Promissory Notes Payable (“2017 Seller Notes”) in the amount of $81.3 million to the sellers of RCP 2. On January 3, 2018, the Company issued non-interest bearing Secured Promissory Notes Payable (“2018 Seller Notes”) in the amount of $22.1 million to the sellers of RCP 3. Additionally, in connection with the acquisition, the Company issued non-interest-bearing tax amortization benefits in the amount of $48.4 million (“TAB Payments”) to the owners of RCP 3. The 2017 Seller Notes, the 2018 Seller Notes, and the TAB Payments are collectively referred to as “Notes payable to sellers.”</w:t>
      </w:r>
    </w:p>
    <w:p>
      <w:pPr>
        <w:spacing w:after="0" w:line="174"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The Company’s indirect wholly owned subsidiary, P10 RCP Holdco, LLC (“HoldCo”), entered into a Credit and Guaranty Facility with HPS Investment Partners, LLC (HPS), an unrelated party, as administrative agent and collateral agent on October 7, 2017 (the Facility). The Facility provides for a $130.0 million senior secured credit facility in order to refinance the existing debt obligations of RCP Advisors and provide for the financing to repay the seller notes (the “Seller Notes”) due resulting from the acquisition of RCP Advisors. The Facility provides for a $125 million five-year term loan and a $5 million one-year line of credit. The line of credit was repaid and subsequently expired during 2018. This Facility was amended in the past year, on October 2, 2020 and December 14, 2020 to provide additional term loan borrowings as further described below.</w:t>
      </w:r>
    </w:p>
    <w:p>
      <w:pPr>
        <w:spacing w:after="0" w:line="176" w:lineRule="exact"/>
        <w:rPr>
          <w:sz w:val="20"/>
          <w:szCs w:val="20"/>
          <w:color w:val="auto"/>
        </w:rPr>
      </w:pPr>
    </w:p>
    <w:p>
      <w:pPr>
        <w:jc w:val="both"/>
        <w:ind w:firstLine="509"/>
        <w:spacing w:after="0" w:line="281" w:lineRule="auto"/>
        <w:rPr>
          <w:sz w:val="20"/>
          <w:szCs w:val="20"/>
          <w:color w:val="auto"/>
        </w:rPr>
      </w:pPr>
      <w:r>
        <w:rPr>
          <w:rFonts w:ascii="Arial" w:cs="Arial" w:eastAsia="Arial" w:hAnsi="Arial"/>
          <w:sz w:val="17"/>
          <w:szCs w:val="17"/>
          <w:color w:val="auto"/>
        </w:rPr>
        <w:t>During the year ended December 31, 2020, we raised $46.4 million of cash through the issuance of redeemable preferred equity interests through the issuance of shares in our subsidiary, P10 Intermediate. Additionally, we incurred $159.4 million under the Facility, which matures in October 2022. As of December 31, 2020, we had $261.7 million outstanding under the Facility. We utilized these funds and cash on hand, as well as the issuance of $141.4 million of P10 Intermediate shares to the sellers to fund the acquisitions of Five Points, TrueBridge, ECG and ECP. As of September 30, 2021, we had $286.8 million outstanding under the Facility. This increased from December 31, 2020 due to a $35.0 million draw to fund the acquisitions of Hark and Bonaccord and was offset by quarterly principal paydowns of $9.8 million.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2021 Compared to the Nine Months Ended September 30, 2020</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reflects our cash flows for the nine months ended September 30, 2021 and 2020:</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76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4"/>
              </w:rPr>
              <w:t>For the Nine Months Ended</w:t>
            </w: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 Change</w:t>
            </w:r>
          </w:p>
        </w:tc>
        <w:tc>
          <w:tcPr>
            <w:tcW w:w="220" w:type="dxa"/>
            <w:vAlign w:val="bottom"/>
          </w:tcPr>
          <w:p>
            <w:pPr>
              <w:spacing w:after="0"/>
              <w:rPr>
                <w:sz w:val="17"/>
                <w:szCs w:val="17"/>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3"/>
          </w:tcPr>
          <w:p>
            <w:pPr>
              <w:jc w:val="center"/>
              <w:ind w:left="479"/>
              <w:spacing w:after="0"/>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40,704</w:t>
            </w: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16,292</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24,412</w:t>
            </w:r>
          </w:p>
        </w:tc>
        <w:tc>
          <w:tcPr>
            <w:tcW w:w="220" w:type="dxa"/>
            <w:vAlign w:val="bottom"/>
            <w:shd w:val="clear" w:color="auto" w:fill="CFF0FC"/>
          </w:tcPr>
          <w:p>
            <w:pPr>
              <w:spacing w:after="0"/>
              <w:rPr>
                <w:sz w:val="22"/>
                <w:szCs w:val="22"/>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(47,379 )</w:t>
            </w:r>
          </w:p>
        </w:tc>
        <w:tc>
          <w:tcPr>
            <w:tcW w:w="4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(46,779 )</w:t>
            </w:r>
          </w:p>
        </w:tc>
        <w:tc>
          <w:tcPr>
            <w:tcW w:w="22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(600 )</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63"/>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0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21,969</w:t>
            </w:r>
          </w:p>
        </w:tc>
        <w:tc>
          <w:tcPr>
            <w:tcW w:w="2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27,948</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(5,979 )</w:t>
            </w:r>
          </w:p>
        </w:tc>
        <w:tc>
          <w:tcPr>
            <w:tcW w:w="13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536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 and</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15,294</w:t>
            </w:r>
          </w:p>
        </w:tc>
        <w:tc>
          <w:tcPr>
            <w:tcW w:w="260" w:type="dxa"/>
            <w:vAlign w:val="bottom"/>
          </w:tcPr>
          <w:p>
            <w:pPr>
              <w:spacing w:after="0"/>
              <w:rPr>
                <w:sz w:val="24"/>
                <w:szCs w:val="24"/>
                <w:color w:val="auto"/>
              </w:rPr>
            </w:pPr>
          </w:p>
        </w:tc>
        <w:tc>
          <w:tcPr>
            <w:tcW w:w="400" w:type="dxa"/>
            <w:vAlign w:val="bottom"/>
            <w:vMerge w:val="restart"/>
          </w:tcPr>
          <w:p>
            <w:pPr>
              <w:jc w:val="right"/>
              <w:ind w:right="210"/>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(2,539 )</w:t>
            </w: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17,833</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300" w:type="dxa"/>
            <w:vAlign w:val="bottom"/>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(702 )%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-476250</wp:posOffset>
            </wp:positionV>
            <wp:extent cx="163195"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-476250</wp:posOffset>
            </wp:positionV>
            <wp:extent cx="163195"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-476250</wp:posOffset>
            </wp:positionV>
            <wp:extent cx="14605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46050" cy="571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Cash from operating activities increased $24.4 million or 150%, to $40.7 million for the nine months ended September 30, 2021 compared to the nine months ended September 30, 2020. The components of this net increase primarily consisted of a $6.1 million increase in net income and the following changes in operating assets and liabilities:</w:t>
      </w:r>
    </w:p>
    <w:p>
      <w:pPr>
        <w:spacing w:after="0" w:line="7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 increase of $12.8 million in amortization of intangibles primarily due to the acquisitions of TrueBridge, Five Points and ECG;</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 increase in expense for deferred taxes of $3.4 million primarily driven by reduction of deferred tax assets;</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 increase in accounts receivable of $5.7 million, primarily attributable to ECG's advisory agreement with Enhanced PC;</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 decrease of $3.5 million in accounts payable driven by Keystone's exercise of options settled in the fourth quarter of 2020;</w:t>
      </w:r>
    </w:p>
    <w:p>
      <w:pPr>
        <w:spacing w:after="0" w:line="131" w:lineRule="exact"/>
        <w:rPr>
          <w:sz w:val="20"/>
          <w:szCs w:val="20"/>
          <w:color w:val="auto"/>
        </w:rPr>
      </w:pPr>
    </w:p>
    <w:p>
      <w:pPr>
        <w:ind w:left="960"/>
        <w:spacing w:after="0"/>
        <w:rPr>
          <w:sz w:val="20"/>
          <w:szCs w:val="20"/>
          <w:color w:val="auto"/>
        </w:rPr>
      </w:pPr>
      <w:r>
        <w:rPr>
          <w:rFonts w:ascii="Arial" w:cs="Arial" w:eastAsia="Arial" w:hAnsi="Arial"/>
          <w:sz w:val="18"/>
          <w:szCs w:val="18"/>
          <w:color w:val="auto"/>
        </w:rPr>
        <w:t>An increase in other liabilities of $6.3 million related to the state tax deposits at ECG.</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31"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The cash used in investing activities increased by $0.6 million, or 1% to ($47.4) million, for the nine months ended September 30, 2021 as compared to the nine months ended September 30, 2020. This increase in the cash used was due almost entirely to the acquisitions of Hark Capital and Bonaccord Capital on September 30, 2021, which resulted in net cash payments of $46.9 million during the third quarter of 2021.</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3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We obtained a net $22.0 million of cash for the nine months ended September 30, 2021 for financing activities, as compared to cash provided by financing activities of $27.9 million for the nine months ended September 30, 2021 due primarily to the borrowing of $35.0 million related to the Hark Capital and Bonaccord Capital acquisitions in the third quarter of 2021. The cash obtained for financing activities for the first nine months of 2020 was primarily due to the proceeds from the issuance of redeemable noncontrolling interests. The was offset by $9.7 million of repayments of debt obligations for the nine months ended September 31, 2021.</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 and Uses of Liquidity</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 which may include refinancing of existing indebtedness or the pay down of debt using proceeds of equity offerings.</w:t>
      </w:r>
    </w:p>
    <w:p>
      <w:pPr>
        <w:spacing w:after="0" w:line="183"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We intend to use a portion of the proceeds raised in the Initial Public Offering completed on October 25, 2021 to pay down the debt obligations of the Company which existed as of September 30, 2021. We believe we will also continue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7" w:name="page48"/>
    <w:bookmarkEnd w:id="47"/>
    <w:p>
      <w:pPr>
        <w:jc w:val="both"/>
        <w:spacing w:after="0" w:line="293" w:lineRule="auto"/>
        <w:rPr>
          <w:sz w:val="20"/>
          <w:szCs w:val="20"/>
          <w:color w:val="auto"/>
        </w:rPr>
      </w:pPr>
      <w:r>
        <w:rPr>
          <w:rFonts w:ascii="Arial" w:cs="Arial" w:eastAsia="Arial" w:hAnsi="Arial"/>
          <w:sz w:val="18"/>
          <w:szCs w:val="18"/>
          <w:color w:val="auto"/>
        </w:rPr>
        <w:t>evaluate opportunities, based on market conditions, to access the capital markets and use proceeds from the issuance of equity securities or debt instruments, to continue funding acquisitions and expanding our operations.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On October 25, 2021, we completed our Initial Public Offering to the New York Stock Exchange. We issued 20,000,000 of our Class A common stock at a price to the public of $12.00 per share. We then used the proceeds from the offering mostly to pay down the term loan. On October 29, 2021, the Company paid down $86.8 million of our total principal outstanding on the term loan.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35"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In the ordinary course of business, we enter contractual arrangements that require future cash payments. The following table sets forth information regarding our anticipated future cash payments under our contractual obligations as of September 30,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9"/>
              </w:rPr>
              <w:t>Thereafter</w:t>
            </w:r>
          </w:p>
        </w:tc>
        <w:tc>
          <w:tcPr>
            <w:tcW w:w="80" w:type="dxa"/>
            <w:vAlign w:val="bottom"/>
          </w:tcPr>
          <w:p>
            <w:pPr>
              <w:spacing w:after="0"/>
              <w:rPr>
                <w:sz w:val="16"/>
                <w:szCs w:val="16"/>
                <w:color w:val="auto"/>
              </w:rPr>
            </w:pPr>
          </w:p>
        </w:tc>
      </w:tr>
      <w:tr>
        <w:trPr>
          <w:trHeight w:val="196"/>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40" w:type="dxa"/>
            <w:vAlign w:val="bottom"/>
            <w:gridSpan w:val="3"/>
          </w:tcPr>
          <w:p>
            <w:pPr>
              <w:jc w:val="right"/>
              <w:ind w:right="75"/>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63"/>
        </w:trPr>
        <w:tc>
          <w:tcPr>
            <w:tcW w:w="2940" w:type="dxa"/>
            <w:vAlign w:val="bottom"/>
            <w:shd w:val="clear" w:color="auto" w:fill="CFF0FC"/>
          </w:tcPr>
          <w:p>
            <w:pPr>
              <w:ind w:left="20"/>
              <w:spacing w:after="0" w:line="263"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4"/>
                <w:szCs w:val="24"/>
                <w:color w:val="auto"/>
                <w:vertAlign w:val="superscript"/>
              </w:rPr>
              <w:t>(1)</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9,065</w:t>
            </w:r>
          </w:p>
        </w:tc>
        <w:tc>
          <w:tcPr>
            <w:tcW w:w="4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576</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w:t>
            </w:r>
          </w:p>
        </w:tc>
        <w:tc>
          <w:tcPr>
            <w:tcW w:w="46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2,180</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2,011</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w:t>
            </w:r>
          </w:p>
        </w:tc>
        <w:tc>
          <w:tcPr>
            <w:tcW w:w="80" w:type="dxa"/>
            <w:vAlign w:val="bottom"/>
            <w:shd w:val="clear" w:color="auto" w:fill="CFF0FC"/>
          </w:tcPr>
          <w:p>
            <w:pPr>
              <w:spacing w:after="0"/>
              <w:rPr>
                <w:sz w:val="22"/>
                <w:szCs w:val="22"/>
                <w:color w:val="auto"/>
              </w:rPr>
            </w:pPr>
          </w:p>
        </w:tc>
      </w:tr>
      <w:tr>
        <w:trPr>
          <w:trHeight w:val="257"/>
        </w:trPr>
        <w:tc>
          <w:tcPr>
            <w:tcW w:w="294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Debt obligations </w:t>
            </w:r>
            <w:r>
              <w:rPr>
                <w:rFonts w:ascii="Arial" w:cs="Arial" w:eastAsia="Arial" w:hAnsi="Arial"/>
                <w:sz w:val="24"/>
                <w:szCs w:val="24"/>
                <w:color w:val="auto"/>
                <w:vertAlign w:val="superscript"/>
              </w:rPr>
              <w:t>(2)</w:t>
            </w: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327,911</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2,318</w:t>
            </w:r>
          </w:p>
        </w:tc>
        <w:tc>
          <w:tcPr>
            <w:tcW w:w="2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284,529</w:t>
            </w:r>
          </w:p>
        </w:tc>
        <w:tc>
          <w:tcPr>
            <w:tcW w:w="2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1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2,111</w:t>
            </w:r>
          </w:p>
        </w:tc>
        <w:tc>
          <w:tcPr>
            <w:tcW w:w="1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36,842</w:t>
            </w:r>
          </w:p>
        </w:tc>
        <w:tc>
          <w:tcPr>
            <w:tcW w:w="80" w:type="dxa"/>
            <w:vAlign w:val="bottom"/>
          </w:tcPr>
          <w:p>
            <w:pPr>
              <w:spacing w:after="0"/>
              <w:rPr>
                <w:sz w:val="22"/>
                <w:szCs w:val="22"/>
                <w:color w:val="auto"/>
              </w:rPr>
            </w:pPr>
          </w:p>
        </w:tc>
      </w:tr>
      <w:tr>
        <w:trPr>
          <w:trHeight w:val="283"/>
        </w:trPr>
        <w:tc>
          <w:tcPr>
            <w:tcW w:w="2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336,976</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2,894</w:t>
            </w: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286,713</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2,180</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4,122</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2,965</w:t>
            </w:r>
          </w:p>
        </w:tc>
        <w:tc>
          <w:tcPr>
            <w:tcW w:w="1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38,102</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-24765</wp:posOffset>
            </wp:positionV>
            <wp:extent cx="12890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-7620</wp:posOffset>
            </wp:positionV>
            <wp:extent cx="12890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-24765</wp:posOffset>
            </wp:positionV>
            <wp:extent cx="12890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3296920</wp:posOffset>
            </wp:positionH>
            <wp:positionV relativeFrom="paragraph">
              <wp:posOffset>-7620</wp:posOffset>
            </wp:positionV>
            <wp:extent cx="12890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-24765</wp:posOffset>
            </wp:positionV>
            <wp:extent cx="1371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-7620</wp:posOffset>
            </wp:positionV>
            <wp:extent cx="1371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1111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1111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-24765</wp:posOffset>
            </wp:positionV>
            <wp:extent cx="1111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-7620</wp:posOffset>
            </wp:positionV>
            <wp:extent cx="11112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-24765</wp:posOffset>
            </wp:positionV>
            <wp:extent cx="11112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-7620</wp:posOffset>
            </wp:positionV>
            <wp:extent cx="11112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ind w:left="440" w:hanging="432"/>
        <w:spacing w:after="0" w:line="266"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lease office space under agreements that expire periodically through 2027. The table only includes guaranteed minimum lease payments under these agreements and does not project other related payments.</w:t>
      </w:r>
    </w:p>
    <w:p>
      <w:pPr>
        <w:spacing w:after="0" w:line="1" w:lineRule="exact"/>
        <w:rPr>
          <w:rFonts w:ascii="Arial" w:cs="Arial" w:eastAsia="Arial" w:hAnsi="Arial"/>
          <w:sz w:val="18"/>
          <w:szCs w:val="18"/>
          <w:color w:val="auto"/>
        </w:rPr>
      </w:pPr>
    </w:p>
    <w:p>
      <w:pPr>
        <w:jc w:val="both"/>
        <w:ind w:left="440" w:hanging="432"/>
        <w:spacing w:after="0" w:line="279" w:lineRule="auto"/>
        <w:tabs>
          <w:tab w:leader="none" w:pos="4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Debt obligations presented in the table reflect scheduled principal payments related to the various debt instruments of the Company. As described above, we used a portion of the proceeds from this Merger transaction to pay down a portion of the indebtedness of the Company under these facilities.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Critical Accounting Policies</w:t>
      </w:r>
    </w:p>
    <w:p>
      <w:pPr>
        <w:spacing w:after="0" w:line="243"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We prepare our consolidated financial statements in accordance with accounting principles generally accepted in the United States of America (“U.S. GAAP”) and include the accounts of the Company and its consolidated subsidiaries. The 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potentially produce materially different results if we were to change the underlying assumptions, estimates, or judgements. See Note 2, “Significant Accounting Policies” for a summary of our significant accounting policies.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31" w:lineRule="exact"/>
        <w:rPr>
          <w:sz w:val="20"/>
          <w:szCs w:val="20"/>
          <w:color w:val="auto"/>
        </w:rPr>
      </w:pPr>
    </w:p>
    <w:p>
      <w:pPr>
        <w:jc w:val="both"/>
        <w:ind w:firstLine="509"/>
        <w:spacing w:after="0" w:line="299" w:lineRule="auto"/>
        <w:rPr>
          <w:sz w:val="20"/>
          <w:szCs w:val="20"/>
          <w:color w:val="auto"/>
        </w:rPr>
      </w:pPr>
      <w:r>
        <w:rPr>
          <w:rFonts w:ascii="Arial" w:cs="Arial" w:eastAsia="Arial" w:hAnsi="Arial"/>
          <w:sz w:val="16"/>
          <w:szCs w:val="16"/>
          <w:color w:val="auto"/>
        </w:rPr>
        <w:t>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31"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83" w:lineRule="exact"/>
        <w:rPr>
          <w:sz w:val="20"/>
          <w:szCs w:val="20"/>
          <w:color w:val="auto"/>
        </w:rPr>
      </w:pPr>
    </w:p>
    <w:p>
      <w:pPr>
        <w:jc w:val="both"/>
        <w:ind w:firstLine="509"/>
        <w:spacing w:after="0" w:line="290" w:lineRule="auto"/>
        <w:rPr>
          <w:sz w:val="20"/>
          <w:szCs w:val="20"/>
          <w:color w:val="auto"/>
        </w:rPr>
      </w:pPr>
      <w:r>
        <w:rPr>
          <w:rFonts w:ascii="Arial" w:cs="Arial" w:eastAsia="Arial" w:hAnsi="Arial"/>
          <w:sz w:val="17"/>
          <w:szCs w:val="17"/>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76"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determine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6 for further information.</w:t>
      </w:r>
    </w:p>
    <w:p>
      <w:pPr>
        <w:spacing w:after="0" w:line="191" w:lineRule="exact"/>
        <w:rPr>
          <w:sz w:val="20"/>
          <w:szCs w:val="20"/>
          <w:color w:val="auto"/>
        </w:rPr>
      </w:pPr>
    </w:p>
    <w:p>
      <w:pPr>
        <w:jc w:val="both"/>
        <w:ind w:firstLine="509"/>
        <w:spacing w:after="0" w:line="270" w:lineRule="auto"/>
        <w:rPr>
          <w:sz w:val="20"/>
          <w:szCs w:val="20"/>
          <w:color w:val="auto"/>
        </w:rPr>
      </w:pPr>
      <w:r>
        <w:rPr>
          <w:rFonts w:ascii="Arial" w:cs="Arial" w:eastAsia="Arial" w:hAnsi="Arial"/>
          <w:sz w:val="18"/>
          <w:szCs w:val="18"/>
          <w:color w:val="auto"/>
        </w:rPr>
        <w:t>The Company has determined that certain of its subsidiaries are VIEs, and that the Company is the primary beneficiary of the entity, because it has the power to direct activities of the entities that most significantly impact the VIE’s economic performance and has a controlling financial interest in each entity. Accordingly, the Company consolidates these entities, which includes P10 Intermediate, Holdco, RCP 2, RCP 3, TrueBridge, Hark and Bonaccord. The assets and liabilities of the consolidated VIEs are presented gross in the Consolidated Balance Sheets. The assets of our consolidated VIE’s are owned by those entities and not generally available to satisfy P10 Holding’s obligations, and the liabilities of our consolidated VIE’s are obligations of those entities and their creditors do not generally have recourse to the assets of P10. See Note 6 for more information on both consolidated and unconsolidated VIEs.</w:t>
      </w:r>
    </w:p>
    <w:p>
      <w:pPr>
        <w:spacing w:after="0" w:line="192"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8"/>
          <w:szCs w:val="18"/>
          <w:color w:val="auto"/>
        </w:rPr>
        <w:t>Entities that do not qualify as VIEs are assessed for consolidation as voting interest entities under the voting interest model. Under the voting interest model, the Company consolidates those entities it controls through a majority voting interest or other means. Five Points and ECG are concluded to be consolidated subsidiaries of P10 Intermediate under the voting interest model.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of Management Fees and Management Fees Received in Advance</w:t>
      </w:r>
    </w:p>
    <w:p>
      <w:pPr>
        <w:spacing w:after="0" w:line="131" w:lineRule="exact"/>
        <w:rPr>
          <w:sz w:val="20"/>
          <w:szCs w:val="20"/>
          <w:color w:val="auto"/>
        </w:rPr>
      </w:pPr>
    </w:p>
    <w:p>
      <w:pPr>
        <w:jc w:val="both"/>
        <w:ind w:firstLine="509"/>
        <w:spacing w:after="0" w:line="303" w:lineRule="auto"/>
        <w:rPr>
          <w:sz w:val="20"/>
          <w:szCs w:val="20"/>
          <w:color w:val="auto"/>
        </w:rPr>
      </w:pPr>
      <w:r>
        <w:rPr>
          <w:rFonts w:ascii="Arial" w:cs="Arial" w:eastAsia="Arial" w:hAnsi="Arial"/>
          <w:sz w:val="17"/>
          <w:szCs w:val="17"/>
          <w:color w:val="auto"/>
        </w:rPr>
        <w:t>On January 1, 2019, the Company adopted ASC 606, Revenue from Contracts with Customers (“ASC 606”) using the modified retrospective method. As a result, prior period amounts continue to be reported under legacy GAAP. The adoption did not change the historical pattern of recognizing revenue for management fees. Accordingly, the Company did not record a cumulative adjustment upon adoption.</w:t>
      </w:r>
    </w:p>
    <w:p>
      <w:pPr>
        <w:spacing w:after="0" w:line="16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Revenue is recognized when the Company transfers promised goods or services to customers in an amount that reflects the consideration to which the Company expects to be entitled to in exchange for those goods or services.</w:t>
      </w:r>
    </w:p>
    <w:p>
      <w:pPr>
        <w:spacing w:after="0" w:line="170" w:lineRule="exact"/>
        <w:rPr>
          <w:sz w:val="20"/>
          <w:szCs w:val="20"/>
          <w:color w:val="auto"/>
        </w:rPr>
      </w:pPr>
    </w:p>
    <w:p>
      <w:pPr>
        <w:jc w:val="both"/>
        <w:ind w:right="20" w:firstLine="509"/>
        <w:spacing w:after="0" w:line="293" w:lineRule="auto"/>
        <w:rPr>
          <w:sz w:val="20"/>
          <w:szCs w:val="20"/>
          <w:color w:val="auto"/>
        </w:rPr>
      </w:pPr>
      <w:r>
        <w:rPr>
          <w:rFonts w:ascii="Arial" w:cs="Arial" w:eastAsia="Arial" w:hAnsi="Arial"/>
          <w:sz w:val="18"/>
          <w:szCs w:val="18"/>
          <w:color w:val="auto"/>
        </w:rPr>
        <w:t>While the determination of who is the customer in a contractual arrangement will be made on a contract-by-contract basis, the customer will generally be the investment fund for the Company’s significant management and advisory contracts.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Advisory Fees</w:t>
      </w:r>
    </w:p>
    <w:p>
      <w:pPr>
        <w:spacing w:after="0" w:line="13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 on the Consolidated Balance Sheets.</w:t>
      </w:r>
    </w:p>
    <w:p>
      <w:pPr>
        <w:spacing w:after="0" w:line="185"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For asset management and advisory services, the Company typically satisfies its performance obligations over time as the services are rendered, since the customers simultaneously receive and consume the benefits provided as the Company performs the service. The transaction price is the amount of consideration to which the Company expects to be entitled based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9" w:name="page50"/>
    <w:bookmarkEnd w:id="49"/>
    <w:p>
      <w:pPr>
        <w:jc w:val="both"/>
        <w:spacing w:after="0" w:line="296" w:lineRule="auto"/>
        <w:rPr>
          <w:sz w:val="20"/>
          <w:szCs w:val="20"/>
          <w:color w:val="auto"/>
        </w:rPr>
      </w:pPr>
      <w:r>
        <w:rPr>
          <w:rFonts w:ascii="Arial" w:cs="Arial" w:eastAsia="Arial" w:hAnsi="Arial"/>
          <w:sz w:val="17"/>
          <w:szCs w:val="17"/>
          <w:color w:val="auto"/>
        </w:rPr>
        <w:t>on the terms of the arrangement. For certain funds, management fees are initially calculated based on committed capital during the investment period and on net invested capital through the remainder of the fund’s term. Additionally, the management fee may step down for certain funds depending on the contractual arrangement. Advisory services are generally based upon fixed amounts and billed quarterly. Other advisory services include transaction and management fees associated with managing the origination and ongoing compliance of certain investments.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w:t>
      </w:r>
    </w:p>
    <w:p>
      <w:pPr>
        <w:spacing w:after="0" w:line="13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Other revenue on our Consolidated Statements of Operations primarily consists of subscriptions, consulting agreements and referral fees.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certain opportunities.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Current income tax expense represents our estimated taxes to be paid or refunded for the current period. In accordance with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91" w:lineRule="exact"/>
        <w:rPr>
          <w:sz w:val="20"/>
          <w:szCs w:val="20"/>
          <w:color w:val="auto"/>
        </w:rPr>
      </w:pPr>
    </w:p>
    <w:p>
      <w:pPr>
        <w:jc w:val="both"/>
        <w:ind w:right="20" w:firstLine="509"/>
        <w:spacing w:after="0" w:line="359" w:lineRule="auto"/>
        <w:rPr>
          <w:sz w:val="20"/>
          <w:szCs w:val="20"/>
          <w:color w:val="auto"/>
        </w:rPr>
      </w:pPr>
      <w:r>
        <w:rPr>
          <w:rFonts w:ascii="Arial" w:cs="Arial" w:eastAsia="Arial" w:hAnsi="Arial"/>
          <w:sz w:val="16"/>
          <w:szCs w:val="16"/>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file various federal and state and local tax returns based on federal and state local consolidation and stand- alone tax rules as applicable.</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31" w:lineRule="exact"/>
        <w:rPr>
          <w:sz w:val="20"/>
          <w:szCs w:val="20"/>
          <w:color w:val="auto"/>
        </w:rPr>
      </w:pPr>
    </w:p>
    <w:p>
      <w:pPr>
        <w:jc w:val="both"/>
        <w:ind w:firstLine="509"/>
        <w:spacing w:after="0" w:line="311" w:lineRule="auto"/>
        <w:rPr>
          <w:sz w:val="20"/>
          <w:szCs w:val="20"/>
          <w:color w:val="auto"/>
        </w:rPr>
      </w:pPr>
      <w:r>
        <w:rPr>
          <w:rFonts w:ascii="Arial" w:cs="Arial" w:eastAsia="Arial" w:hAnsi="Arial"/>
          <w:sz w:val="16"/>
          <w:szCs w:val="16"/>
          <w:color w:val="auto"/>
        </w:rPr>
        <w:t>Stock-based compensation relates to option grants for shares of P10 awarded to our employees. Stock- based compensation cost is estimated at the grant date based on the fair-value of the award, which is determined using the Black Scholes option valuation model and is recognized as expense ratably over the requisite service period of the award, generally five years. The share price used in the Black Scholes model is based on the trading price of our shares on the OTC Market. Expected life is based on the vesting period and expiration date of the option. Stock price volatility is estimated based on a group of similar publicly traded companies determined to be most reflective of the expected volatility of the Company due to the nature of operations of these entities. The risk-free rates are based on the U.S. Treasury yield in effect at the time of grant. Forfeitures are recognized as they occur.</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131"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In accordance with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w:t>
      </w:r>
    </w:p>
    <w:p>
      <w:pPr>
        <w:spacing w:after="0" w:line="196"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The Company includes the results of operations of acquired businesses beginning on the respective acquisition dates. In accordance with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0" w:name="page51"/>
    <w:bookmarkEnd w:id="50"/>
    <w:p>
      <w:pPr>
        <w:jc w:val="both"/>
        <w:ind w:right="20"/>
        <w:spacing w:after="0" w:line="324" w:lineRule="auto"/>
        <w:rPr>
          <w:sz w:val="20"/>
          <w:szCs w:val="20"/>
          <w:color w:val="auto"/>
        </w:rPr>
      </w:pPr>
      <w:r>
        <w:rPr>
          <w:rFonts w:ascii="Arial" w:cs="Arial" w:eastAsia="Arial" w:hAnsi="Arial"/>
          <w:sz w:val="17"/>
          <w:szCs w:val="17"/>
          <w:color w:val="auto"/>
        </w:rPr>
        <w:t>information to estimate fair values of identifiable intangible assets and property acquired. In making these determinations, the Company may engage an independent third-party valuation specialist to assist with the valuation of certain intangible assets, notes payable, and tax amortization benefits.</w:t>
      </w:r>
    </w:p>
    <w:p>
      <w:pPr>
        <w:spacing w:after="0" w:line="147"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general, administrative and other on our Consolidated Statements of Operations.</w:t>
      </w:r>
    </w:p>
    <w:p>
      <w:pPr>
        <w:spacing w:after="0" w:line="191" w:lineRule="exact"/>
        <w:rPr>
          <w:sz w:val="20"/>
          <w:szCs w:val="20"/>
          <w:color w:val="auto"/>
        </w:rPr>
      </w:pPr>
    </w:p>
    <w:p>
      <w:pPr>
        <w:jc w:val="both"/>
        <w:ind w:firstLine="509"/>
        <w:spacing w:after="0" w:line="324" w:lineRule="auto"/>
        <w:rPr>
          <w:sz w:val="20"/>
          <w:szCs w:val="20"/>
          <w:color w:val="auto"/>
        </w:rPr>
      </w:pPr>
      <w:r>
        <w:rPr>
          <w:rFonts w:ascii="Arial" w:cs="Arial" w:eastAsia="Arial" w:hAnsi="Arial"/>
          <w:sz w:val="17"/>
          <w:szCs w:val="17"/>
          <w:color w:val="auto"/>
        </w:rPr>
        <w:t>For business acquisitions, the Company recognizes the fair value of goodwill and other acquired intangible assets, and estimated contingent consideration at the acquisition date as part of purchase price. This fair value measurement is based on unobservable (Level 3) inputs.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31"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Goodwill is initially measured as the excess of the cost of the acquired business over the sum of the amounts assigned to identifiable assets acquired less the liabilities assumed. As of September 30, 2021, goodwill recorded on our Consolidated Balance Sheets relates to the acquisitions of RCP 2, RCP 3, Five Points, TrueBridge, Enhanced, Hark, and Bonaccord. As of September 30, 2021, the intangible assets are comprised of indefinite-lived intangible assets and finite-lived intangible assets related to the acquisitions of RCP 2, RCP 3, Five Points, TrueBridge, Enhanced, Hark, and Bonaccord.</w:t>
      </w:r>
    </w:p>
    <w:p>
      <w:pPr>
        <w:spacing w:after="0" w:line="156"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 to have finite-lives. Finite-lived trade names are amortized over 10 years in line with the pattern in which the economic benefits are expected to occur.</w:t>
      </w:r>
    </w:p>
    <w:p>
      <w:pPr>
        <w:spacing w:after="0" w:line="191" w:lineRule="exact"/>
        <w:rPr>
          <w:sz w:val="20"/>
          <w:szCs w:val="20"/>
          <w:color w:val="auto"/>
        </w:rPr>
      </w:pPr>
    </w:p>
    <w:p>
      <w:pPr>
        <w:jc w:val="both"/>
        <w:ind w:firstLine="509"/>
        <w:spacing w:after="0" w:line="292" w:lineRule="auto"/>
        <w:rPr>
          <w:sz w:val="20"/>
          <w:szCs w:val="20"/>
          <w:color w:val="auto"/>
        </w:rPr>
      </w:pPr>
      <w:r>
        <w:rPr>
          <w:rFonts w:ascii="Arial" w:cs="Arial" w:eastAsia="Arial" w:hAnsi="Arial"/>
          <w:sz w:val="17"/>
          <w:szCs w:val="17"/>
          <w:color w:val="auto"/>
        </w:rPr>
        <w:t>Goodwill is reviewed for impairment at least annually utilizing a qualitative or quantitative approach and more frequently if circumstances indicate impairment may have occurred. The impairment testing for goodwill under the qualitative approach is based first on a qualitative assessment to determine if it is more likely than not that the fair value of the Company’s reporting unit is less than the respective carrying value. The reporting unit is the reporting level for testing the impairment of goodwill. If it is determined that it is more likely than not that a reporting unit’s fair value is less than its carrying value, then the difference is recorded as an impairment (not to exceed the carrying amount of goodwill).</w:t>
      </w:r>
    </w:p>
    <w:p>
      <w:pPr>
        <w:spacing w:after="0" w:line="174" w:lineRule="exact"/>
        <w:rPr>
          <w:sz w:val="20"/>
          <w:szCs w:val="20"/>
          <w:color w:val="auto"/>
        </w:rPr>
      </w:pPr>
    </w:p>
    <w:p>
      <w:pPr>
        <w:jc w:val="both"/>
        <w:ind w:firstLine="509"/>
        <w:spacing w:after="0" w:line="293" w:lineRule="auto"/>
        <w:rPr>
          <w:sz w:val="20"/>
          <w:szCs w:val="20"/>
          <w:color w:val="auto"/>
        </w:rPr>
      </w:pPr>
      <w:r>
        <w:rPr>
          <w:rFonts w:ascii="Arial" w:cs="Arial" w:eastAsia="Arial" w:hAnsi="Arial"/>
          <w:sz w:val="18"/>
          <w:szCs w:val="18"/>
          <w:color w:val="auto"/>
        </w:rPr>
        <w:t>The Company performed the annual goodwill impairment assessment as of September 30, 2021 and 2020 and concluded that goodwill was not impaired. The Company has not recognized any impairment charges in any of the periods presented.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Qualitative and Quantitative Disclosures about Market Risk</w:t>
      </w:r>
    </w:p>
    <w:p>
      <w:pPr>
        <w:spacing w:after="0" w:line="243" w:lineRule="exact"/>
        <w:rPr>
          <w:sz w:val="20"/>
          <w:szCs w:val="20"/>
          <w:color w:val="auto"/>
        </w:rPr>
      </w:pPr>
    </w:p>
    <w:p>
      <w:pPr>
        <w:jc w:val="both"/>
        <w:ind w:firstLine="509"/>
        <w:spacing w:after="0" w:line="296" w:lineRule="auto"/>
        <w:rPr>
          <w:sz w:val="20"/>
          <w:szCs w:val="20"/>
          <w:color w:val="auto"/>
        </w:rPr>
      </w:pPr>
      <w:r>
        <w:rPr>
          <w:rFonts w:ascii="Arial" w:cs="Arial" w:eastAsia="Arial" w:hAnsi="Arial"/>
          <w:sz w:val="17"/>
          <w:szCs w:val="17"/>
          <w:color w:val="auto"/>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spacing w:after="0" w:line="170"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 fee and advisory fee revenue is not significantly impacted by changes in investment values, but unfavorable changes in the value of the assets we manage could adversely impact our ability to attract and retain our investors.</w:t>
      </w:r>
    </w:p>
    <w:p>
      <w:pPr>
        <w:spacing w:after="0" w:line="156"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Fair value of the financial assets and liabilities of our specialized investment vehicles may fluctuate in response to changes in the value of underlying assets, and interest rates.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31" w:lineRule="exact"/>
        <w:rPr>
          <w:sz w:val="20"/>
          <w:szCs w:val="20"/>
          <w:color w:val="auto"/>
        </w:rPr>
      </w:pPr>
    </w:p>
    <w:p>
      <w:pPr>
        <w:jc w:val="both"/>
        <w:ind w:firstLine="509"/>
        <w:spacing w:after="0" w:line="275" w:lineRule="auto"/>
        <w:rPr>
          <w:sz w:val="20"/>
          <w:szCs w:val="20"/>
          <w:color w:val="auto"/>
        </w:rPr>
      </w:pPr>
      <w:r>
        <w:rPr>
          <w:rFonts w:ascii="Arial" w:cs="Arial" w:eastAsia="Arial" w:hAnsi="Arial"/>
          <w:sz w:val="18"/>
          <w:szCs w:val="18"/>
          <w:color w:val="auto"/>
        </w:rPr>
        <w:t>As of September 30, 2021, we had $253.9 million in outstanding principal under our Credit and Guaranty Facility. The annual interest rate on the Term Loan is based on LIBOR, subject to a floor of 1.00%, plus 6.00%. On September 30, 2021, the interest rate on these borrowings was 7.00%. We estimate that a 100-basis point increase in the interest rate would result in an approximately $2.6 million increase in interest expense related to the loan over the next 12 months.</w:t>
      </w:r>
    </w:p>
    <w:p>
      <w:pPr>
        <w:spacing w:after="0" w:line="185" w:lineRule="exact"/>
        <w:rPr>
          <w:sz w:val="20"/>
          <w:szCs w:val="20"/>
          <w:color w:val="auto"/>
        </w:rPr>
      </w:pPr>
    </w:p>
    <w:p>
      <w:pPr>
        <w:jc w:val="both"/>
        <w:ind w:firstLine="509"/>
        <w:spacing w:after="0" w:line="319" w:lineRule="auto"/>
        <w:rPr>
          <w:sz w:val="20"/>
          <w:szCs w:val="20"/>
          <w:color w:val="auto"/>
        </w:rPr>
      </w:pPr>
      <w:r>
        <w:rPr>
          <w:rFonts w:ascii="Arial" w:cs="Arial" w:eastAsia="Arial" w:hAnsi="Arial"/>
          <w:sz w:val="16"/>
          <w:szCs w:val="16"/>
          <w:color w:val="auto"/>
        </w:rPr>
        <w:t>In July 2017, the UK’s Financial Conduct Authority, which regulates LIBOR, announced that it intends to phase out LIBOR as a benchmark by the end of 2021. At the present time, our Facility has a term that extends beyond 2021. The Facility provides for a mechanism to amend the underlying agreements to reflect the establishment of an alternate rate of interest. However, we have not yet pursued any amendment or other contractual alternative to our Facility to address this matter. We are currently evaluating the potential impact of the eventual replacement of the LIBOR interest rate.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31" w:lineRule="exact"/>
        <w:rPr>
          <w:sz w:val="20"/>
          <w:szCs w:val="20"/>
          <w:color w:val="auto"/>
        </w:rPr>
      </w:pPr>
    </w:p>
    <w:p>
      <w:pPr>
        <w:jc w:val="both"/>
        <w:ind w:firstLine="509"/>
        <w:spacing w:after="0" w:line="272" w:lineRule="auto"/>
        <w:rPr>
          <w:sz w:val="20"/>
          <w:szCs w:val="20"/>
          <w:color w:val="auto"/>
        </w:rPr>
      </w:pPr>
      <w:r>
        <w:rPr>
          <w:rFonts w:ascii="Arial" w:cs="Arial" w:eastAsia="Arial" w:hAnsi="Arial"/>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39" w:lineRule="exact"/>
        <w:rPr>
          <w:sz w:val="20"/>
          <w:szCs w:val="20"/>
          <w:color w:val="auto"/>
        </w:rPr>
      </w:pPr>
    </w:p>
    <w:p>
      <w:pPr>
        <w:jc w:val="both"/>
        <w:ind w:firstLine="509"/>
        <w:spacing w:after="0" w:line="287" w:lineRule="auto"/>
        <w:rPr>
          <w:sz w:val="20"/>
          <w:szCs w:val="20"/>
          <w:color w:val="auto"/>
        </w:rPr>
      </w:pPr>
      <w:r>
        <w:rPr>
          <w:rFonts w:ascii="Arial" w:cs="Arial" w:eastAsia="Arial" w:hAnsi="Arial"/>
          <w:sz w:val="17"/>
          <w:szCs w:val="17"/>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Co-Chief Executive Officers and Chief Financial Officer, as appropriate, to allow timely decisions regarding required disclosure. In designing disclosure controls and procedures, our management necessarily was required to apply its judgement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78" w:lineRule="exact"/>
        <w:rPr>
          <w:sz w:val="20"/>
          <w:szCs w:val="20"/>
          <w:color w:val="auto"/>
        </w:rPr>
      </w:pPr>
    </w:p>
    <w:p>
      <w:pPr>
        <w:jc w:val="both"/>
        <w:ind w:firstLine="509"/>
        <w:spacing w:after="0" w:line="269" w:lineRule="auto"/>
        <w:rPr>
          <w:sz w:val="20"/>
          <w:szCs w:val="20"/>
          <w:color w:val="auto"/>
        </w:rPr>
      </w:pPr>
      <w:r>
        <w:rPr>
          <w:rFonts w:ascii="Arial" w:cs="Arial" w:eastAsia="Arial" w:hAnsi="Arial"/>
          <w:sz w:val="18"/>
          <w:szCs w:val="18"/>
          <w:color w:val="auto"/>
        </w:rPr>
        <w:t>Our management, under the supervision and with the participation of our Co-Chief Executive Officers and Chief Financial Officer, evaluated the effectiveness of our disclosure controls and procedures pursuant to Rule 13a-15 under the Exchange Act as of the end of the period covered by this report. Based on that evaluation, our Co-Chief Executive Officers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Co-Chief Executive Officers and Chief Financial Officer, as appropriate, to allow timely decisions regarding required disclosures.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39"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under the Exchange Act) during our most recent quarter ended September 30, 2021 that have materially affected, or are reasonably likely to materially affect, our internal control over financial reporting.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52" w:name="page53"/>
    <w:bookmarkEnd w:id="52"/>
    <w:p>
      <w:pPr>
        <w:jc w:val="center"/>
        <w:ind w:right="-119"/>
        <w:spacing w:after="0"/>
        <w:rPr>
          <w:sz w:val="20"/>
          <w:szCs w:val="20"/>
          <w:color w:val="auto"/>
        </w:rPr>
      </w:pPr>
      <w:r>
        <w:rPr>
          <w:rFonts w:ascii="Arial" w:cs="Arial" w:eastAsia="Arial" w:hAnsi="Arial"/>
          <w:sz w:val="20"/>
          <w:szCs w:val="20"/>
          <w:b w:val="1"/>
          <w:bCs w:val="1"/>
          <w:color w:val="auto"/>
        </w:rPr>
        <w:t>PART II—OTHER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33" w:lineRule="exact"/>
        <w:rPr>
          <w:sz w:val="20"/>
          <w:szCs w:val="20"/>
          <w:color w:val="auto"/>
        </w:rPr>
      </w:pPr>
    </w:p>
    <w:p>
      <w:pPr>
        <w:spacing w:after="0" w:line="278" w:lineRule="auto"/>
        <w:rPr>
          <w:sz w:val="20"/>
          <w:szCs w:val="20"/>
          <w:color w:val="auto"/>
        </w:rPr>
      </w:pPr>
      <w:r>
        <w:rPr>
          <w:rFonts w:ascii="Arial" w:cs="Arial" w:eastAsia="Arial" w:hAnsi="Arial"/>
          <w:sz w:val="20"/>
          <w:szCs w:val="20"/>
          <w:color w:val="auto"/>
        </w:rPr>
        <w:t>The information required with respect to this item can be found under “Contingencies” in Note 12, Commitments and Contingencies, to our condensed consolidated financial statements included elsewhere in this quarterly report, and such information is incorporated by reference into this Item 1.</w:t>
      </w:r>
    </w:p>
    <w:p>
      <w:pPr>
        <w:spacing w:after="0" w:line="2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1A. Risk Factors.</w:t>
      </w:r>
    </w:p>
    <w:p>
      <w:pPr>
        <w:spacing w:after="0" w:line="33" w:lineRule="exact"/>
        <w:rPr>
          <w:sz w:val="20"/>
          <w:szCs w:val="20"/>
          <w:color w:val="auto"/>
        </w:rPr>
      </w:pPr>
    </w:p>
    <w:p>
      <w:pPr>
        <w:ind w:right="120"/>
        <w:spacing w:after="0" w:line="288" w:lineRule="auto"/>
        <w:rPr>
          <w:sz w:val="20"/>
          <w:szCs w:val="20"/>
          <w:color w:val="auto"/>
        </w:rPr>
      </w:pPr>
      <w:r>
        <w:rPr>
          <w:rFonts w:ascii="Arial" w:cs="Arial" w:eastAsia="Arial" w:hAnsi="Arial"/>
          <w:sz w:val="20"/>
          <w:szCs w:val="20"/>
          <w:color w:val="auto"/>
        </w:rPr>
        <w:t>There have been no material changes from the risk factors previously disclosed in “Risk Factors” included in our prospectus dated October 20, 2021, filed with the SEC on October 22, 2021.</w:t>
      </w:r>
    </w:p>
    <w:p>
      <w:pPr>
        <w:spacing w:after="0" w:line="2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Defaults Upon Senior Securities.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3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5. Other Information.</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0" w:right="459" w:bottom="1440" w:gutter="0" w:footer="0" w:header="0"/>
        </w:sectPr>
      </w:pPr>
    </w:p>
    <w:bookmarkStart w:id="53" w:name="page54"/>
    <w:bookmarkEnd w:id="53"/>
    <w:p>
      <w:pPr>
        <w:spacing w:after="0"/>
        <w:rPr>
          <w:sz w:val="20"/>
          <w:szCs w:val="20"/>
          <w:color w:val="auto"/>
        </w:rPr>
      </w:pPr>
      <w:r>
        <w:rPr>
          <w:rFonts w:ascii="Arial" w:cs="Arial" w:eastAsia="Arial" w:hAnsi="Arial"/>
          <w:sz w:val="20"/>
          <w:szCs w:val="20"/>
          <w:b w:val="1"/>
          <w:bCs w:val="1"/>
          <w:color w:val="auto"/>
        </w:rPr>
        <w:t>Item 6. Exhibits.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Furnish the exhibits required by Item 601 of Regulation S-K (§ 229.601 of this chapter).</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 w:type="dxa"/>
            <w:vAlign w:val="bottom"/>
          </w:tcPr>
          <w:p>
            <w:pPr>
              <w:ind w:left="160"/>
              <w:spacing w:after="0"/>
              <w:rPr>
                <w:sz w:val="20"/>
                <w:szCs w:val="20"/>
                <w:color w:val="auto"/>
              </w:rPr>
            </w:pPr>
            <w:r>
              <w:rPr>
                <w:rFonts w:ascii="Arial" w:cs="Arial" w:eastAsia="Arial" w:hAnsi="Arial"/>
                <w:sz w:val="16"/>
                <w:szCs w:val="16"/>
                <w:b w:val="1"/>
                <w:bCs w:val="1"/>
                <w:color w:val="auto"/>
              </w:rPr>
              <w:t>Exhibit</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0" w:type="dxa"/>
            <w:vAlign w:val="bottom"/>
            <w:gridSpan w:val="13"/>
          </w:tcPr>
          <w:p>
            <w:pPr>
              <w:ind w:left="700"/>
              <w:spacing w:after="0"/>
              <w:rPr>
                <w:sz w:val="20"/>
                <w:szCs w:val="20"/>
                <w:color w:val="auto"/>
              </w:rPr>
            </w:pPr>
            <w:r>
              <w:rPr>
                <w:rFonts w:ascii="Arial" w:cs="Arial" w:eastAsia="Arial" w:hAnsi="Arial"/>
                <w:sz w:val="16"/>
                <w:szCs w:val="16"/>
                <w:b w:val="1"/>
                <w:bCs w:val="1"/>
                <w:color w:val="auto"/>
              </w:rPr>
              <w:t>Description</w:t>
            </w:r>
          </w:p>
        </w:tc>
      </w:tr>
      <w:tr>
        <w:trPr>
          <w:trHeight w:val="223"/>
        </w:trPr>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auto"/>
              </w:rPr>
              <w:t>Number</w:t>
            </w:r>
          </w:p>
        </w:tc>
        <w:tc>
          <w:tcPr>
            <w:tcW w:w="26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r>
      <w:tr>
        <w:trPr>
          <w:trHeight w:val="378"/>
        </w:trPr>
        <w:tc>
          <w:tcPr>
            <w:tcW w:w="800" w:type="dxa"/>
            <w:vAlign w:val="bottom"/>
          </w:tcPr>
          <w:p>
            <w:pPr>
              <w:ind w:left="60"/>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24"/>
                <w:szCs w:val="24"/>
                <w:color w:val="auto"/>
              </w:rPr>
            </w:pPr>
          </w:p>
        </w:tc>
        <w:tc>
          <w:tcPr>
            <w:tcW w:w="10180" w:type="dxa"/>
            <w:vAlign w:val="bottom"/>
            <w:gridSpan w:val="17"/>
          </w:tcPr>
          <w:p>
            <w:pPr>
              <w:spacing w:after="0"/>
              <w:rPr>
                <w:rFonts w:ascii="Arial" w:cs="Arial" w:eastAsia="Arial" w:hAnsi="Arial"/>
                <w:sz w:val="16"/>
                <w:szCs w:val="16"/>
                <w:color w:val="0000FF"/>
                <w:w w:val="95"/>
              </w:rPr>
            </w:pPr>
            <w:hyperlink r:id="rId333">
              <w:r>
                <w:rPr>
                  <w:rFonts w:ascii="Arial" w:cs="Arial" w:eastAsia="Arial" w:hAnsi="Arial"/>
                  <w:sz w:val="16"/>
                  <w:szCs w:val="16"/>
                  <w:color w:val="0000FF"/>
                  <w:w w:val="95"/>
                </w:rPr>
                <w:t>Amended and Restated Certificate of Incorporation of P10, Inc. (incorporated by reference to Exhibit 3.1 to the Company’s Current Report on Form 8-K</w:t>
              </w:r>
            </w:hyperlink>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180" w:type="dxa"/>
            <w:vAlign w:val="bottom"/>
            <w:gridSpan w:val="17"/>
          </w:tcPr>
          <w:p>
            <w:pPr>
              <w:spacing w:after="0" w:line="183" w:lineRule="exact"/>
              <w:rPr>
                <w:rFonts w:ascii="Arial" w:cs="Arial" w:eastAsia="Arial" w:hAnsi="Arial"/>
                <w:sz w:val="16"/>
                <w:szCs w:val="16"/>
                <w:color w:val="0000FF"/>
              </w:rPr>
            </w:pPr>
            <w:hyperlink r:id="rId333">
              <w:r>
                <w:rPr>
                  <w:rFonts w:ascii="Arial" w:cs="Arial" w:eastAsia="Arial" w:hAnsi="Arial"/>
                  <w:sz w:val="16"/>
                  <w:szCs w:val="16"/>
                  <w:color w:val="0000FF"/>
                </w:rPr>
                <w:t>filed on October 26, 2021).</w:t>
              </w:r>
            </w:hyperlink>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EE"/>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00" w:type="dxa"/>
            <w:vAlign w:val="bottom"/>
          </w:tcPr>
          <w:p>
            <w:pPr>
              <w:ind w:left="20"/>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17"/>
                <w:szCs w:val="17"/>
                <w:color w:val="auto"/>
              </w:rPr>
            </w:pPr>
          </w:p>
        </w:tc>
        <w:tc>
          <w:tcPr>
            <w:tcW w:w="10180" w:type="dxa"/>
            <w:vAlign w:val="bottom"/>
            <w:gridSpan w:val="17"/>
          </w:tcPr>
          <w:p>
            <w:pPr>
              <w:spacing w:after="0"/>
              <w:rPr>
                <w:rFonts w:ascii="Arial" w:cs="Arial" w:eastAsia="Arial" w:hAnsi="Arial"/>
                <w:sz w:val="16"/>
                <w:szCs w:val="16"/>
                <w:color w:val="0000FF"/>
                <w:w w:val="94"/>
              </w:rPr>
            </w:pPr>
            <w:hyperlink r:id="rId334">
              <w:r>
                <w:rPr>
                  <w:rFonts w:ascii="Arial" w:cs="Arial" w:eastAsia="Arial" w:hAnsi="Arial"/>
                  <w:sz w:val="16"/>
                  <w:szCs w:val="16"/>
                  <w:color w:val="0000FF"/>
                  <w:w w:val="94"/>
                </w:rPr>
                <w:t>Amended and Restated Bylaws of P10, Inc. (incorporated by reference to Exhibit 3.2 to the Company’s Current Report on Form 8-K filed on October 26,</w:t>
              </w:r>
            </w:hyperlink>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line="183" w:lineRule="exact"/>
              <w:rPr>
                <w:rFonts w:ascii="Arial" w:cs="Arial" w:eastAsia="Arial" w:hAnsi="Arial"/>
                <w:sz w:val="16"/>
                <w:szCs w:val="16"/>
                <w:color w:val="0000FF"/>
                <w:w w:val="83"/>
              </w:rPr>
            </w:pPr>
            <w:hyperlink r:id="rId334">
              <w:r>
                <w:rPr>
                  <w:rFonts w:ascii="Arial" w:cs="Arial" w:eastAsia="Arial" w:hAnsi="Arial"/>
                  <w:sz w:val="16"/>
                  <w:szCs w:val="16"/>
                  <w:color w:val="0000FF"/>
                  <w:w w:val="83"/>
                </w:rPr>
                <w:t>2021).</w:t>
              </w:r>
            </w:hyperlink>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00" w:type="dxa"/>
            <w:vAlign w:val="bottom"/>
          </w:tcPr>
          <w:p>
            <w:pPr>
              <w:ind w:left="20"/>
              <w:spacing w:after="0"/>
              <w:rPr>
                <w:sz w:val="20"/>
                <w:szCs w:val="20"/>
                <w:color w:val="auto"/>
              </w:rPr>
            </w:pPr>
            <w:r>
              <w:rPr>
                <w:rFonts w:ascii="Arial" w:cs="Arial" w:eastAsia="Arial" w:hAnsi="Arial"/>
                <w:sz w:val="16"/>
                <w:szCs w:val="16"/>
                <w:color w:val="auto"/>
              </w:rPr>
              <w:t>4.1</w:t>
            </w:r>
          </w:p>
        </w:tc>
        <w:tc>
          <w:tcPr>
            <w:tcW w:w="260" w:type="dxa"/>
            <w:vAlign w:val="bottom"/>
          </w:tcPr>
          <w:p>
            <w:pPr>
              <w:spacing w:after="0"/>
              <w:rPr>
                <w:sz w:val="17"/>
                <w:szCs w:val="17"/>
                <w:color w:val="auto"/>
              </w:rPr>
            </w:pPr>
          </w:p>
        </w:tc>
        <w:tc>
          <w:tcPr>
            <w:tcW w:w="10180" w:type="dxa"/>
            <w:vAlign w:val="bottom"/>
            <w:gridSpan w:val="17"/>
          </w:tcPr>
          <w:p>
            <w:pPr>
              <w:spacing w:after="0"/>
              <w:rPr>
                <w:rFonts w:ascii="Arial" w:cs="Arial" w:eastAsia="Arial" w:hAnsi="Arial"/>
                <w:sz w:val="16"/>
                <w:szCs w:val="16"/>
                <w:color w:val="0000FF"/>
                <w:w w:val="97"/>
              </w:rPr>
            </w:pPr>
            <w:hyperlink r:id="rId335">
              <w:r>
                <w:rPr>
                  <w:rFonts w:ascii="Arial" w:cs="Arial" w:eastAsia="Arial" w:hAnsi="Arial"/>
                  <w:sz w:val="16"/>
                  <w:szCs w:val="16"/>
                  <w:color w:val="0000FF"/>
                  <w:w w:val="97"/>
                </w:rPr>
                <w:t>Rights Agreement, dated as of October 20, 2021, by and among the Company and American Stock Transfer &amp; Trust Company, LLC, as rights agent</w:t>
              </w:r>
            </w:hyperlink>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2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180" w:type="dxa"/>
            <w:vAlign w:val="bottom"/>
            <w:gridSpan w:val="17"/>
          </w:tcPr>
          <w:p>
            <w:pPr>
              <w:spacing w:after="0" w:line="183" w:lineRule="exact"/>
              <w:rPr>
                <w:rFonts w:ascii="Arial" w:cs="Arial" w:eastAsia="Arial" w:hAnsi="Arial"/>
                <w:sz w:val="16"/>
                <w:szCs w:val="16"/>
                <w:color w:val="0000FF"/>
              </w:rPr>
            </w:pPr>
            <w:hyperlink r:id="rId335">
              <w:r>
                <w:rPr>
                  <w:rFonts w:ascii="Arial" w:cs="Arial" w:eastAsia="Arial" w:hAnsi="Arial"/>
                  <w:sz w:val="16"/>
                  <w:szCs w:val="16"/>
                  <w:color w:val="0000FF"/>
                </w:rPr>
                <w:t>(incorporate by reference to Exhibit 4.1 to the Company’s Current Report on Form 8-K filed on October 26, 2021).</w:t>
              </w:r>
            </w:hyperlink>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00" w:type="dxa"/>
            <w:vAlign w:val="bottom"/>
          </w:tcPr>
          <w:p>
            <w:pPr>
              <w:ind w:left="20"/>
              <w:spacing w:after="0"/>
              <w:rPr>
                <w:sz w:val="20"/>
                <w:szCs w:val="20"/>
                <w:color w:val="auto"/>
              </w:rPr>
            </w:pPr>
            <w:r>
              <w:rPr>
                <w:rFonts w:ascii="Arial" w:cs="Arial" w:eastAsia="Arial" w:hAnsi="Arial"/>
                <w:sz w:val="16"/>
                <w:szCs w:val="16"/>
                <w:color w:val="auto"/>
              </w:rPr>
              <w:t>10.1</w:t>
            </w:r>
          </w:p>
        </w:tc>
        <w:tc>
          <w:tcPr>
            <w:tcW w:w="260" w:type="dxa"/>
            <w:vAlign w:val="bottom"/>
          </w:tcPr>
          <w:p>
            <w:pPr>
              <w:spacing w:after="0"/>
              <w:rPr>
                <w:sz w:val="17"/>
                <w:szCs w:val="17"/>
                <w:color w:val="auto"/>
              </w:rPr>
            </w:pPr>
          </w:p>
        </w:tc>
        <w:tc>
          <w:tcPr>
            <w:tcW w:w="10180" w:type="dxa"/>
            <w:vAlign w:val="bottom"/>
            <w:gridSpan w:val="17"/>
          </w:tcPr>
          <w:p>
            <w:pPr>
              <w:spacing w:after="0"/>
              <w:rPr>
                <w:rFonts w:ascii="Arial" w:cs="Arial" w:eastAsia="Arial" w:hAnsi="Arial"/>
                <w:sz w:val="16"/>
                <w:szCs w:val="16"/>
                <w:color w:val="0000FF"/>
                <w:w w:val="95"/>
              </w:rPr>
            </w:pPr>
            <w:hyperlink r:id="rId336">
              <w:r>
                <w:rPr>
                  <w:rFonts w:ascii="Arial" w:cs="Arial" w:eastAsia="Arial" w:hAnsi="Arial"/>
                  <w:sz w:val="16"/>
                  <w:szCs w:val="16"/>
                  <w:color w:val="0000FF"/>
                  <w:w w:val="95"/>
                </w:rPr>
                <w:t>Asset Purchase Agreement, made as of August 18, 2021, by and among Aberdeen Standard Investments, Inc., a Delaware corporation, Standard Life</w:t>
              </w:r>
            </w:hyperlink>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2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180" w:type="dxa"/>
            <w:vAlign w:val="bottom"/>
            <w:gridSpan w:val="17"/>
          </w:tcPr>
          <w:p>
            <w:pPr>
              <w:spacing w:after="0" w:line="183" w:lineRule="exact"/>
              <w:rPr>
                <w:rFonts w:ascii="Arial" w:cs="Arial" w:eastAsia="Arial" w:hAnsi="Arial"/>
                <w:sz w:val="16"/>
                <w:szCs w:val="16"/>
                <w:color w:val="0000FF"/>
                <w:w w:val="99"/>
              </w:rPr>
            </w:pPr>
            <w:hyperlink r:id="rId336">
              <w:r>
                <w:rPr>
                  <w:rFonts w:ascii="Arial" w:cs="Arial" w:eastAsia="Arial" w:hAnsi="Arial"/>
                  <w:sz w:val="16"/>
                  <w:szCs w:val="16"/>
                  <w:color w:val="0000FF"/>
                  <w:w w:val="99"/>
                </w:rPr>
                <w:t>Portfolio Investments US Inc., a Delaware corporation, Aberdeen Capital Managements LLC, a Connecticut limited liability company, the sellers,</w:t>
              </w:r>
            </w:hyperlink>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2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20" w:type="dxa"/>
            <w:vAlign w:val="bottom"/>
            <w:tcBorders>
              <w:left w:val="single" w:sz="8" w:color="0000FF"/>
            </w:tcBorders>
            <w:gridSpan w:val="2"/>
            <w:shd w:val="clear" w:color="auto" w:fill="0000FF"/>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2"/>
        </w:trPr>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180" w:type="dxa"/>
            <w:vAlign w:val="bottom"/>
            <w:gridSpan w:val="17"/>
          </w:tcPr>
          <w:p>
            <w:pPr>
              <w:spacing w:after="0" w:line="183" w:lineRule="exact"/>
              <w:rPr>
                <w:rFonts w:ascii="Arial" w:cs="Arial" w:eastAsia="Arial" w:hAnsi="Arial"/>
                <w:sz w:val="16"/>
                <w:szCs w:val="16"/>
                <w:color w:val="0000FF"/>
                <w:w w:val="96"/>
              </w:rPr>
            </w:pPr>
            <w:hyperlink r:id="rId336">
              <w:r>
                <w:rPr>
                  <w:rFonts w:ascii="Arial" w:cs="Arial" w:eastAsia="Arial" w:hAnsi="Arial"/>
                  <w:sz w:val="16"/>
                  <w:szCs w:val="16"/>
                  <w:color w:val="0000FF"/>
                  <w:w w:val="96"/>
                </w:rPr>
                <w:t>Bonaccord Capital Partners, LLC, a Delaware limited liability company, the buyer, and, with respect to Section 15.15, P10 Holdings, Inc., a Delaware</w:t>
              </w:r>
            </w:hyperlink>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2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80" w:type="dxa"/>
            <w:vAlign w:val="bottom"/>
            <w:tcBorders>
              <w:left w:val="single" w:sz="8" w:color="0000FF"/>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180" w:type="dxa"/>
            <w:vAlign w:val="bottom"/>
            <w:gridSpan w:val="17"/>
          </w:tcPr>
          <w:p>
            <w:pPr>
              <w:spacing w:after="0" w:line="183" w:lineRule="exact"/>
              <w:rPr>
                <w:rFonts w:ascii="Arial" w:cs="Arial" w:eastAsia="Arial" w:hAnsi="Arial"/>
                <w:sz w:val="16"/>
                <w:szCs w:val="16"/>
                <w:color w:val="0000FF"/>
                <w:w w:val="93"/>
              </w:rPr>
            </w:pPr>
            <w:hyperlink r:id="rId336">
              <w:r>
                <w:rPr>
                  <w:rFonts w:ascii="Arial" w:cs="Arial" w:eastAsia="Arial" w:hAnsi="Arial"/>
                  <w:sz w:val="16"/>
                  <w:szCs w:val="16"/>
                  <w:color w:val="0000FF"/>
                  <w:w w:val="93"/>
                </w:rPr>
                <w:t>corporation, the buyer parent (incorporated by reference to Exhibit 10.23 to the Company’s registration statement on Form S-1 filed on October 12, 2021.</w:t>
              </w:r>
            </w:hyperlink>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FF"/>
            </w:tcBorders>
          </w:tcPr>
          <w:p>
            <w:pPr>
              <w:spacing w:after="0" w:line="20" w:lineRule="exact"/>
              <w:rPr>
                <w:sz w:val="1"/>
                <w:szCs w:val="1"/>
                <w:color w:val="auto"/>
              </w:rPr>
            </w:pPr>
          </w:p>
        </w:tc>
        <w:tc>
          <w:tcPr>
            <w:tcW w:w="3120" w:type="dxa"/>
            <w:vAlign w:val="bottom"/>
            <w:tcBorders>
              <w:right w:val="single" w:sz="8" w:color="0000EE"/>
            </w:tcBorders>
            <w:gridSpan w:val="3"/>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90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360" w:type="dxa"/>
            <w:vAlign w:val="bottom"/>
            <w:tcBorders>
              <w:left w:val="single" w:sz="8" w:color="0000EE"/>
            </w:tcBorders>
            <w:gridSpan w:val="6"/>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00" w:type="dxa"/>
            <w:vAlign w:val="bottom"/>
          </w:tcPr>
          <w:p>
            <w:pPr>
              <w:ind w:left="20"/>
              <w:spacing w:after="0"/>
              <w:rPr>
                <w:sz w:val="20"/>
                <w:szCs w:val="20"/>
                <w:color w:val="auto"/>
              </w:rPr>
            </w:pPr>
            <w:r>
              <w:rPr>
                <w:rFonts w:ascii="Arial" w:cs="Arial" w:eastAsia="Arial" w:hAnsi="Arial"/>
                <w:sz w:val="16"/>
                <w:szCs w:val="16"/>
                <w:color w:val="auto"/>
              </w:rPr>
              <w:t>10.2</w:t>
            </w:r>
          </w:p>
        </w:tc>
        <w:tc>
          <w:tcPr>
            <w:tcW w:w="260" w:type="dxa"/>
            <w:vAlign w:val="bottom"/>
          </w:tcPr>
          <w:p>
            <w:pPr>
              <w:spacing w:after="0"/>
              <w:rPr>
                <w:sz w:val="17"/>
                <w:szCs w:val="17"/>
                <w:color w:val="auto"/>
              </w:rPr>
            </w:pPr>
          </w:p>
        </w:tc>
        <w:tc>
          <w:tcPr>
            <w:tcW w:w="10180" w:type="dxa"/>
            <w:vAlign w:val="bottom"/>
            <w:gridSpan w:val="17"/>
          </w:tcPr>
          <w:p>
            <w:pPr>
              <w:spacing w:after="0"/>
              <w:rPr>
                <w:rFonts w:ascii="Arial" w:cs="Arial" w:eastAsia="Arial" w:hAnsi="Arial"/>
                <w:sz w:val="16"/>
                <w:szCs w:val="16"/>
                <w:color w:val="0000FF"/>
                <w:w w:val="93"/>
              </w:rPr>
            </w:pPr>
            <w:hyperlink r:id="rId337">
              <w:r>
                <w:rPr>
                  <w:rFonts w:ascii="Arial" w:cs="Arial" w:eastAsia="Arial" w:hAnsi="Arial"/>
                  <w:sz w:val="16"/>
                  <w:szCs w:val="16"/>
                  <w:color w:val="0000FF"/>
                  <w:w w:val="93"/>
                </w:rPr>
                <w:t>Asset Purchase Agreement, made as of August 18, 2021, by and among Aberdeen Standard Investments Inc., a Delaware corporation, Aberdeen Capital</w:t>
              </w:r>
            </w:hyperlink>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2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360" w:type="dxa"/>
            <w:vAlign w:val="bottom"/>
            <w:tcBorders>
              <w:lef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180" w:type="dxa"/>
            <w:vAlign w:val="bottom"/>
            <w:gridSpan w:val="17"/>
          </w:tcPr>
          <w:p>
            <w:pPr>
              <w:spacing w:after="0" w:line="183" w:lineRule="exact"/>
              <w:rPr>
                <w:rFonts w:ascii="Arial" w:cs="Arial" w:eastAsia="Arial" w:hAnsi="Arial"/>
                <w:sz w:val="16"/>
                <w:szCs w:val="16"/>
                <w:color w:val="0000FF"/>
                <w:w w:val="95"/>
              </w:rPr>
            </w:pPr>
            <w:hyperlink r:id="rId337">
              <w:r>
                <w:rPr>
                  <w:rFonts w:ascii="Arial" w:cs="Arial" w:eastAsia="Arial" w:hAnsi="Arial"/>
                  <w:sz w:val="16"/>
                  <w:szCs w:val="16"/>
                  <w:color w:val="0000FF"/>
                  <w:w w:val="95"/>
                </w:rPr>
                <w:t>Management LLC, a Connecticut limited liability company, the sellers, Hark Capital Advisors LLC, a Delaware limited liability company, the buyer, and,</w:t>
              </w:r>
            </w:hyperlink>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2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360" w:type="dxa"/>
            <w:vAlign w:val="bottom"/>
            <w:tcBorders>
              <w:lef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180" w:type="dxa"/>
            <w:vAlign w:val="bottom"/>
            <w:gridSpan w:val="17"/>
          </w:tcPr>
          <w:p>
            <w:pPr>
              <w:spacing w:after="0" w:line="183" w:lineRule="exact"/>
              <w:rPr>
                <w:rFonts w:ascii="Arial" w:cs="Arial" w:eastAsia="Arial" w:hAnsi="Arial"/>
                <w:sz w:val="16"/>
                <w:szCs w:val="16"/>
                <w:color w:val="0000FF"/>
                <w:w w:val="94"/>
              </w:rPr>
            </w:pPr>
            <w:hyperlink r:id="rId337">
              <w:r>
                <w:rPr>
                  <w:rFonts w:ascii="Arial" w:cs="Arial" w:eastAsia="Arial" w:hAnsi="Arial"/>
                  <w:sz w:val="16"/>
                  <w:szCs w:val="16"/>
                  <w:color w:val="0000FF"/>
                  <w:w w:val="94"/>
                </w:rPr>
                <w:t>with respect to Section 15.16, P10 Holdings, Inc., a Delaware corporation, the buyer parent (incorporated by reference to Exhibit 10.24 to the Company’s</w:t>
              </w:r>
            </w:hyperlink>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2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360" w:type="dxa"/>
            <w:vAlign w:val="bottom"/>
            <w:tcBorders>
              <w:left w:val="single" w:sz="8" w:color="0000FF"/>
            </w:tcBorders>
            <w:gridSpan w:val="6"/>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180" w:type="dxa"/>
            <w:vAlign w:val="bottom"/>
            <w:gridSpan w:val="17"/>
          </w:tcPr>
          <w:p>
            <w:pPr>
              <w:spacing w:after="0" w:line="183" w:lineRule="exact"/>
              <w:rPr>
                <w:rFonts w:ascii="Arial" w:cs="Arial" w:eastAsia="Arial" w:hAnsi="Arial"/>
                <w:sz w:val="16"/>
                <w:szCs w:val="16"/>
                <w:color w:val="0000FF"/>
              </w:rPr>
            </w:pPr>
            <w:hyperlink r:id="rId337">
              <w:r>
                <w:rPr>
                  <w:rFonts w:ascii="Arial" w:cs="Arial" w:eastAsia="Arial" w:hAnsi="Arial"/>
                  <w:sz w:val="16"/>
                  <w:szCs w:val="16"/>
                  <w:color w:val="0000FF"/>
                </w:rPr>
                <w:t>registration statement on Form S-1 filed on October 12, 2021</w:t>
              </w:r>
            </w:hyperlink>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FF"/>
            </w:tcBorders>
            <w:gridSpan w:val="3"/>
            <w:shd w:val="clear" w:color="auto" w:fill="0000FF"/>
          </w:tcPr>
          <w:p>
            <w:pPr>
              <w:spacing w:after="0" w:line="20" w:lineRule="exact"/>
              <w:rPr>
                <w:sz w:val="1"/>
                <w:szCs w:val="1"/>
                <w:color w:val="auto"/>
              </w:rPr>
            </w:pPr>
          </w:p>
        </w:tc>
        <w:tc>
          <w:tcPr>
            <w:tcW w:w="860" w:type="dxa"/>
            <w:vAlign w:val="bottom"/>
            <w:tcBorders>
              <w:right w:val="single" w:sz="8" w:color="0000EE"/>
            </w:tcBorders>
            <w:shd w:val="clear" w:color="auto" w:fill="0000FF"/>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00" w:type="dxa"/>
            <w:vAlign w:val="bottom"/>
          </w:tcPr>
          <w:p>
            <w:pPr>
              <w:ind w:left="20"/>
              <w:spacing w:after="0"/>
              <w:rPr>
                <w:sz w:val="20"/>
                <w:szCs w:val="20"/>
                <w:color w:val="auto"/>
              </w:rPr>
            </w:pPr>
            <w:r>
              <w:rPr>
                <w:rFonts w:ascii="Arial" w:cs="Arial" w:eastAsia="Arial" w:hAnsi="Arial"/>
                <w:sz w:val="16"/>
                <w:szCs w:val="16"/>
                <w:color w:val="auto"/>
              </w:rPr>
              <w:t>10.3</w:t>
            </w:r>
          </w:p>
        </w:tc>
        <w:tc>
          <w:tcPr>
            <w:tcW w:w="260" w:type="dxa"/>
            <w:vAlign w:val="bottom"/>
          </w:tcPr>
          <w:p>
            <w:pPr>
              <w:spacing w:after="0"/>
              <w:rPr>
                <w:sz w:val="17"/>
                <w:szCs w:val="17"/>
                <w:color w:val="auto"/>
              </w:rPr>
            </w:pPr>
          </w:p>
        </w:tc>
        <w:tc>
          <w:tcPr>
            <w:tcW w:w="10180" w:type="dxa"/>
            <w:vAlign w:val="bottom"/>
            <w:gridSpan w:val="17"/>
          </w:tcPr>
          <w:p>
            <w:pPr>
              <w:spacing w:after="0"/>
              <w:rPr>
                <w:rFonts w:ascii="Arial" w:cs="Arial" w:eastAsia="Arial" w:hAnsi="Arial"/>
                <w:sz w:val="16"/>
                <w:szCs w:val="16"/>
                <w:color w:val="0000FF"/>
                <w:w w:val="91"/>
              </w:rPr>
            </w:pPr>
            <w:hyperlink r:id="rId338">
              <w:r>
                <w:rPr>
                  <w:rFonts w:ascii="Arial" w:cs="Arial" w:eastAsia="Arial" w:hAnsi="Arial"/>
                  <w:sz w:val="16"/>
                  <w:szCs w:val="16"/>
                  <w:color w:val="0000FF"/>
                  <w:w w:val="91"/>
                </w:rPr>
                <w:t>Controlled Company Agreement, dated as of October 20, 2021, by and among P10, Inc. and the parties listed on the signature pages thereto (incorporated by</w:t>
              </w:r>
            </w:hyperlink>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20" w:type="dxa"/>
            <w:vAlign w:val="bottom"/>
            <w:tcBorders>
              <w:right w:val="single" w:sz="8" w:color="0000FF"/>
            </w:tcBorders>
            <w:gridSpan w:val="3"/>
            <w:shd w:val="clear" w:color="auto" w:fill="0000FF"/>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360" w:type="dxa"/>
            <w:vAlign w:val="bottom"/>
            <w:tcBorders>
              <w:left w:val="single" w:sz="8" w:color="0000FF"/>
            </w:tcBorders>
            <w:gridSpan w:val="6"/>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180" w:type="dxa"/>
            <w:vAlign w:val="bottom"/>
            <w:gridSpan w:val="17"/>
          </w:tcPr>
          <w:p>
            <w:pPr>
              <w:spacing w:after="0" w:line="183" w:lineRule="exact"/>
              <w:rPr>
                <w:rFonts w:ascii="Arial" w:cs="Arial" w:eastAsia="Arial" w:hAnsi="Arial"/>
                <w:sz w:val="16"/>
                <w:szCs w:val="16"/>
                <w:color w:val="0000FF"/>
              </w:rPr>
            </w:pPr>
            <w:hyperlink r:id="rId338">
              <w:r>
                <w:rPr>
                  <w:rFonts w:ascii="Arial" w:cs="Arial" w:eastAsia="Arial" w:hAnsi="Arial"/>
                  <w:sz w:val="16"/>
                  <w:szCs w:val="16"/>
                  <w:color w:val="0000FF"/>
                </w:rPr>
                <w:t>reference to Exhibit 10.1 to the Company’s Current Report on Form 8-K filed on October 26, 2021).</w:t>
              </w:r>
            </w:hyperlink>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FF"/>
            </w:tcBorders>
            <w:gridSpan w:val="3"/>
            <w:shd w:val="clear" w:color="auto" w:fill="0000FF"/>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36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00" w:type="dxa"/>
            <w:vAlign w:val="bottom"/>
          </w:tcPr>
          <w:p>
            <w:pPr>
              <w:ind w:left="20"/>
              <w:spacing w:after="0"/>
              <w:rPr>
                <w:sz w:val="20"/>
                <w:szCs w:val="20"/>
                <w:color w:val="auto"/>
              </w:rPr>
            </w:pPr>
            <w:r>
              <w:rPr>
                <w:rFonts w:ascii="Arial" w:cs="Arial" w:eastAsia="Arial" w:hAnsi="Arial"/>
                <w:sz w:val="16"/>
                <w:szCs w:val="16"/>
                <w:color w:val="auto"/>
              </w:rPr>
              <w:t>10.4</w:t>
            </w:r>
          </w:p>
        </w:tc>
        <w:tc>
          <w:tcPr>
            <w:tcW w:w="260" w:type="dxa"/>
            <w:vAlign w:val="bottom"/>
          </w:tcPr>
          <w:p>
            <w:pPr>
              <w:spacing w:after="0"/>
              <w:rPr>
                <w:sz w:val="17"/>
                <w:szCs w:val="17"/>
                <w:color w:val="auto"/>
              </w:rPr>
            </w:pPr>
          </w:p>
        </w:tc>
        <w:tc>
          <w:tcPr>
            <w:tcW w:w="10180" w:type="dxa"/>
            <w:vAlign w:val="bottom"/>
            <w:gridSpan w:val="17"/>
          </w:tcPr>
          <w:p>
            <w:pPr>
              <w:spacing w:after="0"/>
              <w:rPr>
                <w:rFonts w:ascii="Arial" w:cs="Arial" w:eastAsia="Arial" w:hAnsi="Arial"/>
                <w:sz w:val="16"/>
                <w:szCs w:val="16"/>
                <w:color w:val="0000FF"/>
                <w:w w:val="90"/>
              </w:rPr>
            </w:pPr>
            <w:hyperlink r:id="rId339">
              <w:r>
                <w:rPr>
                  <w:rFonts w:ascii="Arial" w:cs="Arial" w:eastAsia="Arial" w:hAnsi="Arial"/>
                  <w:sz w:val="16"/>
                  <w:szCs w:val="16"/>
                  <w:color w:val="0000FF"/>
                  <w:w w:val="90"/>
                </w:rPr>
                <w:t>Stockholders Agreement, dated as of October 20, 2021, by and among the Company and each of the other persons and entities party thereto (incorporated by</w:t>
              </w:r>
            </w:hyperlink>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20" w:type="dxa"/>
            <w:vAlign w:val="bottom"/>
            <w:tcBorders>
              <w:right w:val="single" w:sz="8" w:color="0000FF"/>
            </w:tcBorders>
            <w:gridSpan w:val="3"/>
            <w:shd w:val="clear" w:color="auto" w:fill="0000FF"/>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360" w:type="dxa"/>
            <w:vAlign w:val="bottom"/>
            <w:tcBorders>
              <w:left w:val="single" w:sz="8" w:color="0000FF"/>
            </w:tcBorders>
            <w:gridSpan w:val="6"/>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180" w:type="dxa"/>
            <w:vAlign w:val="bottom"/>
            <w:gridSpan w:val="17"/>
          </w:tcPr>
          <w:p>
            <w:pPr>
              <w:spacing w:after="0" w:line="183" w:lineRule="exact"/>
              <w:rPr>
                <w:rFonts w:ascii="Arial" w:cs="Arial" w:eastAsia="Arial" w:hAnsi="Arial"/>
                <w:sz w:val="16"/>
                <w:szCs w:val="16"/>
                <w:color w:val="0000FF"/>
              </w:rPr>
            </w:pPr>
            <w:hyperlink r:id="rId339">
              <w:r>
                <w:rPr>
                  <w:rFonts w:ascii="Arial" w:cs="Arial" w:eastAsia="Arial" w:hAnsi="Arial"/>
                  <w:sz w:val="16"/>
                  <w:szCs w:val="16"/>
                  <w:color w:val="0000FF"/>
                </w:rPr>
                <w:t>reference to Exhibit 10.2 to the Company’s Current Report on Form 8-K filed on October 26, 2021).</w:t>
              </w:r>
            </w:hyperlink>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FF"/>
            </w:tcBorders>
            <w:gridSpan w:val="3"/>
            <w:shd w:val="clear" w:color="auto" w:fill="0000FF"/>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360" w:type="dxa"/>
            <w:vAlign w:val="bottom"/>
            <w:tcBorders>
              <w:left w:val="single" w:sz="8" w:color="0000EE"/>
            </w:tcBorders>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00" w:type="dxa"/>
            <w:vAlign w:val="bottom"/>
          </w:tcPr>
          <w:p>
            <w:pPr>
              <w:ind w:left="20"/>
              <w:spacing w:after="0"/>
              <w:rPr>
                <w:sz w:val="20"/>
                <w:szCs w:val="20"/>
                <w:color w:val="auto"/>
              </w:rPr>
            </w:pPr>
            <w:r>
              <w:rPr>
                <w:rFonts w:ascii="Arial" w:cs="Arial" w:eastAsia="Arial" w:hAnsi="Arial"/>
                <w:sz w:val="16"/>
                <w:szCs w:val="16"/>
                <w:color w:val="auto"/>
              </w:rPr>
              <w:t>10.5</w:t>
            </w:r>
          </w:p>
        </w:tc>
        <w:tc>
          <w:tcPr>
            <w:tcW w:w="260" w:type="dxa"/>
            <w:vAlign w:val="bottom"/>
          </w:tcPr>
          <w:p>
            <w:pPr>
              <w:spacing w:after="0"/>
              <w:rPr>
                <w:sz w:val="17"/>
                <w:szCs w:val="17"/>
                <w:color w:val="auto"/>
              </w:rPr>
            </w:pPr>
          </w:p>
        </w:tc>
        <w:tc>
          <w:tcPr>
            <w:tcW w:w="10180" w:type="dxa"/>
            <w:vAlign w:val="bottom"/>
            <w:gridSpan w:val="17"/>
          </w:tcPr>
          <w:p>
            <w:pPr>
              <w:spacing w:after="0"/>
              <w:rPr>
                <w:rFonts w:ascii="Arial" w:cs="Arial" w:eastAsia="Arial" w:hAnsi="Arial"/>
                <w:sz w:val="16"/>
                <w:szCs w:val="16"/>
                <w:color w:val="0000FF"/>
                <w:w w:val="94"/>
              </w:rPr>
            </w:pPr>
            <w:hyperlink r:id="rId340">
              <w:r>
                <w:rPr>
                  <w:rFonts w:ascii="Arial" w:cs="Arial" w:eastAsia="Arial" w:hAnsi="Arial"/>
                  <w:sz w:val="16"/>
                  <w:szCs w:val="16"/>
                  <w:color w:val="0000FF"/>
                  <w:w w:val="94"/>
                </w:rPr>
                <w:t>Form of Indemnification Agreement to be entered into between the Company and certain of its directors and officers (incorporated by reference to Exhibit</w:t>
              </w:r>
            </w:hyperlink>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20" w:type="dxa"/>
            <w:vAlign w:val="bottom"/>
            <w:tcBorders>
              <w:right w:val="single" w:sz="8" w:color="0000FF"/>
            </w:tcBorders>
            <w:gridSpan w:val="3"/>
            <w:shd w:val="clear" w:color="auto" w:fill="0000FF"/>
          </w:tcPr>
          <w:p>
            <w:pPr>
              <w:spacing w:after="0" w:line="20" w:lineRule="exact"/>
              <w:rPr>
                <w:sz w:val="1"/>
                <w:szCs w:val="1"/>
                <w:color w:val="auto"/>
              </w:rPr>
            </w:pPr>
          </w:p>
        </w:tc>
        <w:tc>
          <w:tcPr>
            <w:tcW w:w="2760" w:type="dxa"/>
            <w:vAlign w:val="bottom"/>
            <w:tcBorders>
              <w:right w:val="single" w:sz="8" w:color="0000FF"/>
            </w:tcBorders>
            <w:gridSpan w:val="2"/>
            <w:shd w:val="clear" w:color="auto" w:fill="0000FF"/>
          </w:tcPr>
          <w:p>
            <w:pPr>
              <w:spacing w:after="0" w:line="20" w:lineRule="exact"/>
              <w:rPr>
                <w:sz w:val="1"/>
                <w:szCs w:val="1"/>
                <w:color w:val="auto"/>
              </w:rPr>
            </w:pPr>
          </w:p>
        </w:tc>
        <w:tc>
          <w:tcPr>
            <w:tcW w:w="3960" w:type="dxa"/>
            <w:vAlign w:val="bottom"/>
            <w:gridSpan w:val="7"/>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180" w:type="dxa"/>
            <w:vAlign w:val="bottom"/>
            <w:gridSpan w:val="17"/>
          </w:tcPr>
          <w:p>
            <w:pPr>
              <w:spacing w:after="0" w:line="183" w:lineRule="exact"/>
              <w:rPr>
                <w:rFonts w:ascii="Arial" w:cs="Arial" w:eastAsia="Arial" w:hAnsi="Arial"/>
                <w:sz w:val="16"/>
                <w:szCs w:val="16"/>
                <w:color w:val="0000FF"/>
              </w:rPr>
            </w:pPr>
            <w:hyperlink r:id="rId340">
              <w:r>
                <w:rPr>
                  <w:rFonts w:ascii="Arial" w:cs="Arial" w:eastAsia="Arial" w:hAnsi="Arial"/>
                  <w:sz w:val="16"/>
                  <w:szCs w:val="16"/>
                  <w:color w:val="0000FF"/>
                </w:rPr>
                <w:t>10.</w:t>
              </w:r>
              <w:r>
                <w:rPr>
                  <w:rFonts w:ascii="Arial" w:cs="Arial" w:eastAsia="Arial" w:hAnsi="Arial"/>
                  <w:sz w:val="16"/>
                  <w:szCs w:val="16"/>
                  <w:u w:val="single" w:color="auto"/>
                  <w:color w:val="0000FF"/>
                </w:rPr>
                <w:t>3</w:t>
              </w:r>
              <w:r>
                <w:rPr>
                  <w:rFonts w:ascii="Arial" w:cs="Arial" w:eastAsia="Arial" w:hAnsi="Arial"/>
                  <w:sz w:val="16"/>
                  <w:szCs w:val="16"/>
                  <w:color w:val="0000FF"/>
                </w:rPr>
                <w:t xml:space="preserve"> to the Company’s Registration Statement on Form S-1, filed on September 27, 2021).</w:t>
              </w:r>
            </w:hyperlink>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FF"/>
            </w:tcBorders>
            <w:gridSpan w:val="3"/>
            <w:shd w:val="clear" w:color="auto" w:fill="0000FF"/>
          </w:tcPr>
          <w:p>
            <w:pPr>
              <w:spacing w:after="0" w:line="20" w:lineRule="exact"/>
              <w:rPr>
                <w:sz w:val="1"/>
                <w:szCs w:val="1"/>
                <w:color w:val="auto"/>
              </w:rPr>
            </w:pPr>
          </w:p>
        </w:tc>
        <w:tc>
          <w:tcPr>
            <w:tcW w:w="2760" w:type="dxa"/>
            <w:vAlign w:val="bottom"/>
            <w:tcBorders>
              <w:right w:val="single" w:sz="8" w:color="0000EE"/>
            </w:tcBorders>
            <w:gridSpan w:val="2"/>
            <w:shd w:val="clear" w:color="auto" w:fill="0000FF"/>
          </w:tcPr>
          <w:p>
            <w:pPr>
              <w:spacing w:after="0" w:line="20" w:lineRule="exact"/>
              <w:rPr>
                <w:sz w:val="1"/>
                <w:szCs w:val="1"/>
                <w:color w:val="auto"/>
              </w:rPr>
            </w:pPr>
          </w:p>
        </w:tc>
        <w:tc>
          <w:tcPr>
            <w:tcW w:w="396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800" w:type="dxa"/>
            <w:vAlign w:val="bottom"/>
          </w:tcPr>
          <w:p>
            <w:pPr>
              <w:ind w:left="20"/>
              <w:spacing w:after="0"/>
              <w:rPr>
                <w:sz w:val="20"/>
                <w:szCs w:val="20"/>
                <w:color w:val="auto"/>
              </w:rPr>
            </w:pPr>
            <w:r>
              <w:rPr>
                <w:rFonts w:ascii="Arial" w:cs="Arial" w:eastAsia="Arial" w:hAnsi="Arial"/>
                <w:sz w:val="16"/>
                <w:szCs w:val="16"/>
                <w:color w:val="auto"/>
              </w:rPr>
              <w:t>10.6</w:t>
            </w:r>
          </w:p>
        </w:tc>
        <w:tc>
          <w:tcPr>
            <w:tcW w:w="260" w:type="dxa"/>
            <w:vAlign w:val="bottom"/>
          </w:tcPr>
          <w:p>
            <w:pPr>
              <w:spacing w:after="0"/>
              <w:rPr>
                <w:sz w:val="17"/>
                <w:szCs w:val="17"/>
                <w:color w:val="auto"/>
              </w:rPr>
            </w:pPr>
          </w:p>
        </w:tc>
        <w:tc>
          <w:tcPr>
            <w:tcW w:w="10180" w:type="dxa"/>
            <w:vAlign w:val="bottom"/>
            <w:gridSpan w:val="17"/>
          </w:tcPr>
          <w:p>
            <w:pPr>
              <w:spacing w:after="0"/>
              <w:rPr>
                <w:rFonts w:ascii="Arial" w:cs="Arial" w:eastAsia="Arial" w:hAnsi="Arial"/>
                <w:sz w:val="16"/>
                <w:szCs w:val="16"/>
                <w:color w:val="0000FF"/>
                <w:w w:val="92"/>
              </w:rPr>
            </w:pPr>
            <w:hyperlink r:id="rId341">
              <w:r>
                <w:rPr>
                  <w:rFonts w:ascii="Arial" w:cs="Arial" w:eastAsia="Arial" w:hAnsi="Arial"/>
                  <w:sz w:val="16"/>
                  <w:szCs w:val="16"/>
                  <w:color w:val="0000FF"/>
                  <w:w w:val="92"/>
                </w:rPr>
                <w:t>P10, Inc. 2021 Equity Incentive Plan (incorporated by reference to Exhibit 10.1 to the Company’s Registration Statement on Form S-1, filed on October 18,</w:t>
              </w:r>
            </w:hyperlink>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136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tcBorders>
              <w:right w:val="single" w:sz="8" w:color="0000FF"/>
            </w:tcBorders>
            <w:shd w:val="clear" w:color="auto" w:fill="0000FF"/>
          </w:tcPr>
          <w:p>
            <w:pPr>
              <w:spacing w:after="0" w:line="20" w:lineRule="exact"/>
              <w:rPr>
                <w:sz w:val="1"/>
                <w:szCs w:val="1"/>
                <w:color w:val="auto"/>
              </w:rPr>
            </w:pPr>
          </w:p>
        </w:tc>
        <w:tc>
          <w:tcPr>
            <w:tcW w:w="86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line="183" w:lineRule="exact"/>
              <w:rPr>
                <w:rFonts w:ascii="Arial" w:cs="Arial" w:eastAsia="Arial" w:hAnsi="Arial"/>
                <w:sz w:val="16"/>
                <w:szCs w:val="16"/>
                <w:color w:val="0000FF"/>
                <w:w w:val="83"/>
              </w:rPr>
            </w:pPr>
            <w:hyperlink r:id="rId341">
              <w:r>
                <w:rPr>
                  <w:rFonts w:ascii="Arial" w:cs="Arial" w:eastAsia="Arial" w:hAnsi="Arial"/>
                  <w:sz w:val="16"/>
                  <w:szCs w:val="16"/>
                  <w:color w:val="0000FF"/>
                  <w:w w:val="83"/>
                </w:rPr>
                <w:t>2021).</w:t>
              </w:r>
            </w:hyperlink>
          </w:p>
        </w:tc>
        <w:tc>
          <w:tcPr>
            <w:tcW w:w="1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6720" w:type="dxa"/>
            <w:vAlign w:val="bottom"/>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93"/>
        </w:trPr>
        <w:tc>
          <w:tcPr>
            <w:tcW w:w="800" w:type="dxa"/>
            <w:vAlign w:val="bottom"/>
          </w:tcPr>
          <w:p>
            <w:pPr>
              <w:ind w:left="20"/>
              <w:spacing w:after="0"/>
              <w:rPr>
                <w:sz w:val="20"/>
                <w:szCs w:val="20"/>
                <w:color w:val="auto"/>
              </w:rPr>
            </w:pPr>
            <w:r>
              <w:rPr>
                <w:rFonts w:ascii="Arial" w:cs="Arial" w:eastAsia="Arial" w:hAnsi="Arial"/>
                <w:sz w:val="16"/>
                <w:szCs w:val="16"/>
                <w:color w:val="auto"/>
              </w:rPr>
              <w:t>31.1*</w:t>
            </w:r>
          </w:p>
        </w:tc>
        <w:tc>
          <w:tcPr>
            <w:tcW w:w="260" w:type="dxa"/>
            <w:vAlign w:val="bottom"/>
          </w:tcPr>
          <w:p>
            <w:pPr>
              <w:spacing w:after="0"/>
              <w:rPr>
                <w:sz w:val="24"/>
                <w:szCs w:val="24"/>
                <w:color w:val="auto"/>
              </w:rPr>
            </w:pPr>
          </w:p>
        </w:tc>
        <w:tc>
          <w:tcPr>
            <w:tcW w:w="10180" w:type="dxa"/>
            <w:vAlign w:val="bottom"/>
            <w:gridSpan w:val="17"/>
          </w:tcPr>
          <w:p>
            <w:pPr>
              <w:spacing w:after="0"/>
              <w:rPr>
                <w:rFonts w:ascii="Arial" w:cs="Arial" w:eastAsia="Arial" w:hAnsi="Arial"/>
                <w:sz w:val="16"/>
                <w:szCs w:val="16"/>
                <w:color w:val="0000FF"/>
                <w:w w:val="93"/>
              </w:rPr>
            </w:pPr>
            <w:hyperlink w:anchor="page56">
              <w:r>
                <w:rPr>
                  <w:rFonts w:ascii="Arial" w:cs="Arial" w:eastAsia="Arial" w:hAnsi="Arial"/>
                  <w:sz w:val="16"/>
                  <w:szCs w:val="16"/>
                  <w:color w:val="0000FF"/>
                  <w:w w:val="93"/>
                </w:rPr>
                <w:t>Certification of Principal Executive Officer Pursuant to Rules 13a-14(a) and 15d-14(a) under the Securities Exchange Act of 1934, as Adopted Pursuant to</w:t>
              </w:r>
            </w:hyperlink>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120" w:type="dxa"/>
            <w:vAlign w:val="bottom"/>
            <w:tcBorders>
              <w:right w:val="single" w:sz="8" w:color="0000FF"/>
            </w:tcBorders>
            <w:gridSpan w:val="3"/>
            <w:shd w:val="clear" w:color="auto" w:fill="0000FF"/>
          </w:tcPr>
          <w:p>
            <w:pPr>
              <w:spacing w:after="0" w:line="20" w:lineRule="exact"/>
              <w:rPr>
                <w:sz w:val="1"/>
                <w:szCs w:val="1"/>
                <w:color w:val="auto"/>
              </w:rPr>
            </w:pPr>
          </w:p>
        </w:tc>
        <w:tc>
          <w:tcPr>
            <w:tcW w:w="6720" w:type="dxa"/>
            <w:vAlign w:val="bottom"/>
            <w:gridSpan w:val="9"/>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180" w:type="dxa"/>
            <w:vAlign w:val="bottom"/>
            <w:gridSpan w:val="17"/>
          </w:tcPr>
          <w:p>
            <w:pPr>
              <w:spacing w:after="0" w:line="183" w:lineRule="exact"/>
              <w:rPr>
                <w:rFonts w:ascii="Arial" w:cs="Arial" w:eastAsia="Arial" w:hAnsi="Arial"/>
                <w:sz w:val="16"/>
                <w:szCs w:val="16"/>
                <w:color w:val="0000FF"/>
              </w:rPr>
            </w:pPr>
            <w:hyperlink w:anchor="page56">
              <w:r>
                <w:rPr>
                  <w:rFonts w:ascii="Arial" w:cs="Arial" w:eastAsia="Arial" w:hAnsi="Arial"/>
                  <w:sz w:val="16"/>
                  <w:szCs w:val="16"/>
                  <w:color w:val="0000FF"/>
                </w:rPr>
                <w:t>Section 302 of the Sarbanes-Oxley Act of 2002.</w:t>
              </w:r>
            </w:hyperlink>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EE"/>
            </w:tcBorders>
            <w:gridSpan w:val="3"/>
            <w:shd w:val="clear" w:color="auto" w:fill="0000FF"/>
          </w:tcPr>
          <w:p>
            <w:pPr>
              <w:spacing w:after="0" w:line="20" w:lineRule="exact"/>
              <w:rPr>
                <w:sz w:val="1"/>
                <w:szCs w:val="1"/>
                <w:color w:val="auto"/>
              </w:rPr>
            </w:pPr>
          </w:p>
        </w:tc>
        <w:tc>
          <w:tcPr>
            <w:tcW w:w="6720" w:type="dxa"/>
            <w:vAlign w:val="bottom"/>
            <w:gridSpan w:val="9"/>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96"/>
        </w:trPr>
        <w:tc>
          <w:tcPr>
            <w:tcW w:w="800" w:type="dxa"/>
            <w:vAlign w:val="bottom"/>
          </w:tcPr>
          <w:p>
            <w:pPr>
              <w:ind w:left="20"/>
              <w:spacing w:after="0"/>
              <w:rPr>
                <w:sz w:val="20"/>
                <w:szCs w:val="20"/>
                <w:color w:val="auto"/>
              </w:rPr>
            </w:pPr>
            <w:r>
              <w:rPr>
                <w:rFonts w:ascii="Arial" w:cs="Arial" w:eastAsia="Arial" w:hAnsi="Arial"/>
                <w:sz w:val="16"/>
                <w:szCs w:val="16"/>
                <w:color w:val="auto"/>
              </w:rPr>
              <w:t>31.2*</w:t>
            </w:r>
          </w:p>
        </w:tc>
        <w:tc>
          <w:tcPr>
            <w:tcW w:w="260" w:type="dxa"/>
            <w:vAlign w:val="bottom"/>
          </w:tcPr>
          <w:p>
            <w:pPr>
              <w:spacing w:after="0"/>
              <w:rPr>
                <w:sz w:val="17"/>
                <w:szCs w:val="17"/>
                <w:color w:val="auto"/>
              </w:rPr>
            </w:pPr>
          </w:p>
        </w:tc>
        <w:tc>
          <w:tcPr>
            <w:tcW w:w="10180" w:type="dxa"/>
            <w:vAlign w:val="bottom"/>
            <w:gridSpan w:val="17"/>
          </w:tcPr>
          <w:p>
            <w:pPr>
              <w:spacing w:after="0"/>
              <w:rPr>
                <w:rFonts w:ascii="Arial" w:cs="Arial" w:eastAsia="Arial" w:hAnsi="Arial"/>
                <w:sz w:val="16"/>
                <w:szCs w:val="16"/>
                <w:color w:val="0000FF"/>
                <w:w w:val="93"/>
              </w:rPr>
            </w:pPr>
            <w:hyperlink w:anchor="page57">
              <w:r>
                <w:rPr>
                  <w:rFonts w:ascii="Arial" w:cs="Arial" w:eastAsia="Arial" w:hAnsi="Arial"/>
                  <w:sz w:val="16"/>
                  <w:szCs w:val="16"/>
                  <w:color w:val="0000FF"/>
                  <w:w w:val="93"/>
                </w:rPr>
                <w:t>Certification of Principal Financial Officer Pursuant to Rules 13a-14(a) and 15d-14(a) under the Securities Exchange Act of 1934, as Adopted Pursuant to</w:t>
              </w:r>
            </w:hyperlink>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40" w:type="dxa"/>
            <w:vAlign w:val="bottom"/>
            <w:gridSpan w:val="12"/>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180" w:type="dxa"/>
            <w:vAlign w:val="bottom"/>
            <w:gridSpan w:val="17"/>
          </w:tcPr>
          <w:p>
            <w:pPr>
              <w:spacing w:after="0" w:line="183" w:lineRule="exact"/>
              <w:rPr>
                <w:rFonts w:ascii="Arial" w:cs="Arial" w:eastAsia="Arial" w:hAnsi="Arial"/>
                <w:sz w:val="16"/>
                <w:szCs w:val="16"/>
                <w:color w:val="0000FF"/>
              </w:rPr>
            </w:pPr>
            <w:hyperlink w:anchor="page57">
              <w:r>
                <w:rPr>
                  <w:rFonts w:ascii="Arial" w:cs="Arial" w:eastAsia="Arial" w:hAnsi="Arial"/>
                  <w:sz w:val="16"/>
                  <w:szCs w:val="16"/>
                  <w:color w:val="0000FF"/>
                </w:rPr>
                <w:t>Section 302 of the Sarbanes-Oxley Act of 2002.</w:t>
              </w:r>
            </w:hyperlink>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EE"/>
            </w:tcBorders>
            <w:gridSpan w:val="3"/>
            <w:shd w:val="clear" w:color="auto" w:fill="0000FF"/>
          </w:tcPr>
          <w:p>
            <w:pPr>
              <w:spacing w:after="0" w:line="20" w:lineRule="exact"/>
              <w:rPr>
                <w:sz w:val="1"/>
                <w:szCs w:val="1"/>
                <w:color w:val="auto"/>
              </w:rPr>
            </w:pPr>
          </w:p>
        </w:tc>
        <w:tc>
          <w:tcPr>
            <w:tcW w:w="6720" w:type="dxa"/>
            <w:vAlign w:val="bottom"/>
            <w:gridSpan w:val="9"/>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196"/>
        </w:trPr>
        <w:tc>
          <w:tcPr>
            <w:tcW w:w="800" w:type="dxa"/>
            <w:vAlign w:val="bottom"/>
          </w:tcPr>
          <w:p>
            <w:pPr>
              <w:ind w:left="20"/>
              <w:spacing w:after="0"/>
              <w:rPr>
                <w:sz w:val="20"/>
                <w:szCs w:val="20"/>
                <w:color w:val="auto"/>
              </w:rPr>
            </w:pPr>
            <w:r>
              <w:rPr>
                <w:rFonts w:ascii="Arial" w:cs="Arial" w:eastAsia="Arial" w:hAnsi="Arial"/>
                <w:sz w:val="16"/>
                <w:szCs w:val="16"/>
                <w:color w:val="auto"/>
              </w:rPr>
              <w:t>31.3*</w:t>
            </w:r>
          </w:p>
        </w:tc>
        <w:tc>
          <w:tcPr>
            <w:tcW w:w="260" w:type="dxa"/>
            <w:vAlign w:val="bottom"/>
          </w:tcPr>
          <w:p>
            <w:pPr>
              <w:spacing w:after="0"/>
              <w:rPr>
                <w:sz w:val="17"/>
                <w:szCs w:val="17"/>
                <w:color w:val="auto"/>
              </w:rPr>
            </w:pPr>
          </w:p>
        </w:tc>
        <w:tc>
          <w:tcPr>
            <w:tcW w:w="10180" w:type="dxa"/>
            <w:vAlign w:val="bottom"/>
            <w:gridSpan w:val="17"/>
          </w:tcPr>
          <w:p>
            <w:pPr>
              <w:spacing w:after="0"/>
              <w:rPr>
                <w:rFonts w:ascii="Arial" w:cs="Arial" w:eastAsia="Arial" w:hAnsi="Arial"/>
                <w:sz w:val="16"/>
                <w:szCs w:val="16"/>
                <w:color w:val="0000FF"/>
                <w:w w:val="93"/>
              </w:rPr>
            </w:pPr>
            <w:hyperlink w:anchor="page58">
              <w:r>
                <w:rPr>
                  <w:rFonts w:ascii="Arial" w:cs="Arial" w:eastAsia="Arial" w:hAnsi="Arial"/>
                  <w:sz w:val="16"/>
                  <w:szCs w:val="16"/>
                  <w:color w:val="0000FF"/>
                  <w:w w:val="93"/>
                </w:rPr>
                <w:t>Certification of Principal Financial Officer Pursuant to Rules 13a-14(a) and 15d-14(a) under the Securities Exchange Act of 1934, as Adopted Pursuant to</w:t>
              </w:r>
            </w:hyperlink>
          </w:p>
        </w:tc>
      </w:tr>
      <w:tr>
        <w:trPr>
          <w:trHeight w:val="20"/>
        </w:trPr>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40" w:type="dxa"/>
            <w:vAlign w:val="bottom"/>
            <w:gridSpan w:val="12"/>
            <w:shd w:val="clear" w:color="auto" w:fill="0000FF"/>
          </w:tcPr>
          <w:p>
            <w:pPr>
              <w:spacing w:after="0" w:line="20" w:lineRule="exact"/>
              <w:rPr>
                <w:sz w:val="1"/>
                <w:szCs w:val="1"/>
                <w:color w:val="auto"/>
              </w:rPr>
            </w:pPr>
          </w:p>
        </w:tc>
        <w:tc>
          <w:tcPr>
            <w:tcW w:w="18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180" w:type="dxa"/>
            <w:vAlign w:val="bottom"/>
            <w:gridSpan w:val="17"/>
          </w:tcPr>
          <w:p>
            <w:pPr>
              <w:spacing w:after="0" w:line="183" w:lineRule="exact"/>
              <w:rPr>
                <w:rFonts w:ascii="Arial" w:cs="Arial" w:eastAsia="Arial" w:hAnsi="Arial"/>
                <w:sz w:val="16"/>
                <w:szCs w:val="16"/>
                <w:color w:val="0000FF"/>
              </w:rPr>
            </w:pPr>
            <w:hyperlink w:anchor="page58">
              <w:r>
                <w:rPr>
                  <w:rFonts w:ascii="Arial" w:cs="Arial" w:eastAsia="Arial" w:hAnsi="Arial"/>
                  <w:sz w:val="16"/>
                  <w:szCs w:val="16"/>
                  <w:color w:val="0000FF"/>
                </w:rPr>
                <w:t>Section 302 of the Sarbanes-Oxley Act of 2002.</w:t>
              </w:r>
            </w:hyperlink>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3120" w:type="dxa"/>
            <w:vAlign w:val="bottom"/>
            <w:tcBorders>
              <w:right w:val="single" w:sz="8" w:color="0000EE"/>
            </w:tcBorders>
            <w:gridSpan w:val="3"/>
            <w:shd w:val="clear" w:color="auto" w:fill="0000FF"/>
          </w:tcPr>
          <w:p>
            <w:pPr>
              <w:spacing w:after="0" w:line="20" w:lineRule="exact"/>
              <w:rPr>
                <w:sz w:val="1"/>
                <w:szCs w:val="1"/>
                <w:color w:val="auto"/>
              </w:rPr>
            </w:pPr>
          </w:p>
        </w:tc>
        <w:tc>
          <w:tcPr>
            <w:tcW w:w="6720" w:type="dxa"/>
            <w:vAlign w:val="bottom"/>
            <w:gridSpan w:val="9"/>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196"/>
        </w:trPr>
        <w:tc>
          <w:tcPr>
            <w:tcW w:w="800" w:type="dxa"/>
            <w:vAlign w:val="bottom"/>
          </w:tcPr>
          <w:p>
            <w:pPr>
              <w:ind w:left="20"/>
              <w:spacing w:after="0"/>
              <w:rPr>
                <w:sz w:val="20"/>
                <w:szCs w:val="20"/>
                <w:color w:val="auto"/>
              </w:rPr>
            </w:pPr>
            <w:r>
              <w:rPr>
                <w:rFonts w:ascii="Arial" w:cs="Arial" w:eastAsia="Arial" w:hAnsi="Arial"/>
                <w:sz w:val="16"/>
                <w:szCs w:val="16"/>
                <w:color w:val="auto"/>
              </w:rPr>
              <w:t>32.1*</w:t>
            </w:r>
          </w:p>
        </w:tc>
        <w:tc>
          <w:tcPr>
            <w:tcW w:w="260" w:type="dxa"/>
            <w:vAlign w:val="bottom"/>
          </w:tcPr>
          <w:p>
            <w:pPr>
              <w:spacing w:after="0"/>
              <w:rPr>
                <w:sz w:val="17"/>
                <w:szCs w:val="17"/>
                <w:color w:val="auto"/>
              </w:rPr>
            </w:pPr>
          </w:p>
        </w:tc>
        <w:tc>
          <w:tcPr>
            <w:tcW w:w="10180" w:type="dxa"/>
            <w:vAlign w:val="bottom"/>
            <w:gridSpan w:val="17"/>
          </w:tcPr>
          <w:p>
            <w:pPr>
              <w:spacing w:after="0"/>
              <w:rPr>
                <w:rFonts w:ascii="Arial" w:cs="Arial" w:eastAsia="Arial" w:hAnsi="Arial"/>
                <w:sz w:val="16"/>
                <w:szCs w:val="16"/>
                <w:color w:val="0000FF"/>
                <w:w w:val="94"/>
              </w:rPr>
            </w:pPr>
            <w:hyperlink w:anchor="page59">
              <w:r>
                <w:rPr>
                  <w:rFonts w:ascii="Arial" w:cs="Arial" w:eastAsia="Arial" w:hAnsi="Arial"/>
                  <w:sz w:val="16"/>
                  <w:szCs w:val="16"/>
                  <w:color w:val="0000FF"/>
                  <w:w w:val="94"/>
                </w:rPr>
                <w:t>Certification of Principal Executive Officer Pursuant to 18 U.S.C. Section 1350, as Adopted Pursuant to Section 906 of the Sarbanes-Oxley Act of 2002.</w:t>
              </w:r>
            </w:hyperlink>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840" w:type="dxa"/>
            <w:vAlign w:val="bottom"/>
            <w:gridSpan w:val="12"/>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196"/>
        </w:trPr>
        <w:tc>
          <w:tcPr>
            <w:tcW w:w="800" w:type="dxa"/>
            <w:vAlign w:val="bottom"/>
          </w:tcPr>
          <w:p>
            <w:pPr>
              <w:ind w:left="20"/>
              <w:spacing w:after="0"/>
              <w:rPr>
                <w:sz w:val="20"/>
                <w:szCs w:val="20"/>
                <w:color w:val="auto"/>
              </w:rPr>
            </w:pPr>
            <w:r>
              <w:rPr>
                <w:rFonts w:ascii="Arial" w:cs="Arial" w:eastAsia="Arial" w:hAnsi="Arial"/>
                <w:sz w:val="16"/>
                <w:szCs w:val="16"/>
                <w:color w:val="auto"/>
              </w:rPr>
              <w:t>32.2*</w:t>
            </w:r>
          </w:p>
        </w:tc>
        <w:tc>
          <w:tcPr>
            <w:tcW w:w="260" w:type="dxa"/>
            <w:vAlign w:val="bottom"/>
          </w:tcPr>
          <w:p>
            <w:pPr>
              <w:spacing w:after="0"/>
              <w:rPr>
                <w:sz w:val="17"/>
                <w:szCs w:val="17"/>
                <w:color w:val="auto"/>
              </w:rPr>
            </w:pPr>
          </w:p>
        </w:tc>
        <w:tc>
          <w:tcPr>
            <w:tcW w:w="10180" w:type="dxa"/>
            <w:vAlign w:val="bottom"/>
            <w:gridSpan w:val="17"/>
          </w:tcPr>
          <w:p>
            <w:pPr>
              <w:spacing w:after="0"/>
              <w:rPr>
                <w:rFonts w:ascii="Arial" w:cs="Arial" w:eastAsia="Arial" w:hAnsi="Arial"/>
                <w:sz w:val="16"/>
                <w:szCs w:val="16"/>
                <w:color w:val="0000FF"/>
                <w:w w:val="95"/>
              </w:rPr>
            </w:pPr>
            <w:hyperlink w:anchor="page60">
              <w:r>
                <w:rPr>
                  <w:rFonts w:ascii="Arial" w:cs="Arial" w:eastAsia="Arial" w:hAnsi="Arial"/>
                  <w:sz w:val="16"/>
                  <w:szCs w:val="16"/>
                  <w:color w:val="0000FF"/>
                  <w:w w:val="95"/>
                </w:rPr>
                <w:t>Certification of Principal Financial Officer Pursuant to 18 U.S.C. Section 1350, as Adopted Pursuant to Section 906 of the Sarbanes-Oxley Act of 2002.</w:t>
              </w:r>
            </w:hyperlink>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840" w:type="dxa"/>
            <w:vAlign w:val="bottom"/>
            <w:gridSpan w:val="12"/>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196"/>
        </w:trPr>
        <w:tc>
          <w:tcPr>
            <w:tcW w:w="800" w:type="dxa"/>
            <w:vAlign w:val="bottom"/>
          </w:tcPr>
          <w:p>
            <w:pPr>
              <w:ind w:left="20"/>
              <w:spacing w:after="0"/>
              <w:rPr>
                <w:sz w:val="20"/>
                <w:szCs w:val="20"/>
                <w:color w:val="auto"/>
              </w:rPr>
            </w:pPr>
            <w:r>
              <w:rPr>
                <w:rFonts w:ascii="Arial" w:cs="Arial" w:eastAsia="Arial" w:hAnsi="Arial"/>
                <w:sz w:val="16"/>
                <w:szCs w:val="16"/>
                <w:color w:val="auto"/>
              </w:rPr>
              <w:t>32.3*</w:t>
            </w:r>
          </w:p>
        </w:tc>
        <w:tc>
          <w:tcPr>
            <w:tcW w:w="260" w:type="dxa"/>
            <w:vAlign w:val="bottom"/>
          </w:tcPr>
          <w:p>
            <w:pPr>
              <w:spacing w:after="0"/>
              <w:rPr>
                <w:sz w:val="17"/>
                <w:szCs w:val="17"/>
                <w:color w:val="auto"/>
              </w:rPr>
            </w:pPr>
          </w:p>
        </w:tc>
        <w:tc>
          <w:tcPr>
            <w:tcW w:w="10180" w:type="dxa"/>
            <w:vAlign w:val="bottom"/>
            <w:gridSpan w:val="17"/>
          </w:tcPr>
          <w:p>
            <w:pPr>
              <w:spacing w:after="0"/>
              <w:rPr>
                <w:rFonts w:ascii="Arial" w:cs="Arial" w:eastAsia="Arial" w:hAnsi="Arial"/>
                <w:sz w:val="16"/>
                <w:szCs w:val="16"/>
                <w:color w:val="0000FF"/>
                <w:w w:val="95"/>
              </w:rPr>
            </w:pPr>
            <w:hyperlink w:anchor="page61">
              <w:r>
                <w:rPr>
                  <w:rFonts w:ascii="Arial" w:cs="Arial" w:eastAsia="Arial" w:hAnsi="Arial"/>
                  <w:sz w:val="16"/>
                  <w:szCs w:val="16"/>
                  <w:color w:val="0000FF"/>
                  <w:w w:val="95"/>
                </w:rPr>
                <w:t>Certification of Principal Financial Officer Pursuant to 18 U.S.C. Section 1350, as Adopted Pursuant to Section 906 of the Sarbanes-Oxley Act of 2002.</w:t>
              </w:r>
            </w:hyperlink>
          </w:p>
        </w:tc>
      </w:tr>
      <w:tr>
        <w:trPr>
          <w:trHeight w:val="20"/>
        </w:trPr>
        <w:tc>
          <w:tcPr>
            <w:tcW w:w="800" w:type="dxa"/>
            <w:vAlign w:val="bottom"/>
          </w:tcPr>
          <w:p>
            <w:pPr>
              <w:spacing w:after="0" w:line="20" w:lineRule="exact"/>
              <w:rPr>
                <w:sz w:val="1"/>
                <w:szCs w:val="1"/>
                <w:color w:val="auto"/>
              </w:rPr>
            </w:pPr>
          </w:p>
        </w:tc>
        <w:tc>
          <w:tcPr>
            <w:tcW w:w="260" w:type="dxa"/>
            <w:vAlign w:val="bottom"/>
            <w:tcBorders>
              <w:right w:val="single" w:sz="8" w:color="0000EE"/>
            </w:tcBorders>
          </w:tcPr>
          <w:p>
            <w:pPr>
              <w:spacing w:after="0" w:line="20" w:lineRule="exact"/>
              <w:rPr>
                <w:sz w:val="1"/>
                <w:szCs w:val="1"/>
                <w:color w:val="auto"/>
              </w:rPr>
            </w:pPr>
          </w:p>
        </w:tc>
        <w:tc>
          <w:tcPr>
            <w:tcW w:w="9840" w:type="dxa"/>
            <w:vAlign w:val="bottom"/>
            <w:gridSpan w:val="12"/>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r>
      <w:tr>
        <w:trPr>
          <w:trHeight w:val="230"/>
        </w:trPr>
        <w:tc>
          <w:tcPr>
            <w:tcW w:w="800" w:type="dxa"/>
            <w:vAlign w:val="bottom"/>
          </w:tcPr>
          <w:p>
            <w:pPr>
              <w:ind w:left="20"/>
              <w:spacing w:after="0"/>
              <w:rPr>
                <w:sz w:val="20"/>
                <w:szCs w:val="20"/>
                <w:color w:val="auto"/>
              </w:rPr>
            </w:pPr>
            <w:r>
              <w:rPr>
                <w:rFonts w:ascii="Arial" w:cs="Arial" w:eastAsia="Arial" w:hAnsi="Arial"/>
                <w:sz w:val="16"/>
                <w:szCs w:val="16"/>
                <w:color w:val="auto"/>
              </w:rPr>
              <w:t>101.INS</w:t>
            </w:r>
          </w:p>
        </w:tc>
        <w:tc>
          <w:tcPr>
            <w:tcW w:w="260" w:type="dxa"/>
            <w:vAlign w:val="bottom"/>
          </w:tcPr>
          <w:p>
            <w:pPr>
              <w:spacing w:after="0"/>
              <w:rPr>
                <w:sz w:val="20"/>
                <w:szCs w:val="20"/>
                <w:color w:val="auto"/>
              </w:rPr>
            </w:pPr>
          </w:p>
        </w:tc>
        <w:tc>
          <w:tcPr>
            <w:tcW w:w="10180" w:type="dxa"/>
            <w:vAlign w:val="bottom"/>
            <w:gridSpan w:val="17"/>
          </w:tcPr>
          <w:p>
            <w:pPr>
              <w:spacing w:after="0"/>
              <w:rPr>
                <w:sz w:val="20"/>
                <w:szCs w:val="20"/>
                <w:color w:val="auto"/>
              </w:rPr>
            </w:pPr>
            <w:r>
              <w:rPr>
                <w:rFonts w:ascii="Arial" w:cs="Arial" w:eastAsia="Arial" w:hAnsi="Arial"/>
                <w:sz w:val="16"/>
                <w:szCs w:val="16"/>
                <w:color w:val="auto"/>
              </w:rPr>
              <w:t>XBRL Instance Document</w:t>
            </w: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101.SCH</w:t>
            </w:r>
          </w:p>
        </w:tc>
        <w:tc>
          <w:tcPr>
            <w:tcW w:w="260" w:type="dxa"/>
            <w:vAlign w:val="bottom"/>
          </w:tcPr>
          <w:p>
            <w:pPr>
              <w:spacing w:after="0"/>
              <w:rPr>
                <w:sz w:val="18"/>
                <w:szCs w:val="18"/>
                <w:color w:val="auto"/>
              </w:rPr>
            </w:pPr>
          </w:p>
        </w:tc>
        <w:tc>
          <w:tcPr>
            <w:tcW w:w="10180" w:type="dxa"/>
            <w:vAlign w:val="bottom"/>
            <w:gridSpan w:val="17"/>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101.CAL</w:t>
            </w:r>
          </w:p>
        </w:tc>
        <w:tc>
          <w:tcPr>
            <w:tcW w:w="260" w:type="dxa"/>
            <w:vAlign w:val="bottom"/>
          </w:tcPr>
          <w:p>
            <w:pPr>
              <w:spacing w:after="0"/>
              <w:rPr>
                <w:sz w:val="18"/>
                <w:szCs w:val="18"/>
                <w:color w:val="auto"/>
              </w:rPr>
            </w:pPr>
          </w:p>
        </w:tc>
        <w:tc>
          <w:tcPr>
            <w:tcW w:w="10180" w:type="dxa"/>
            <w:vAlign w:val="bottom"/>
            <w:gridSpan w:val="17"/>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101.DEF</w:t>
            </w:r>
          </w:p>
        </w:tc>
        <w:tc>
          <w:tcPr>
            <w:tcW w:w="260" w:type="dxa"/>
            <w:vAlign w:val="bottom"/>
          </w:tcPr>
          <w:p>
            <w:pPr>
              <w:spacing w:after="0"/>
              <w:rPr>
                <w:sz w:val="18"/>
                <w:szCs w:val="18"/>
                <w:color w:val="auto"/>
              </w:rPr>
            </w:pPr>
          </w:p>
        </w:tc>
        <w:tc>
          <w:tcPr>
            <w:tcW w:w="10180" w:type="dxa"/>
            <w:vAlign w:val="bottom"/>
            <w:gridSpan w:val="17"/>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101.LAB</w:t>
            </w:r>
          </w:p>
        </w:tc>
        <w:tc>
          <w:tcPr>
            <w:tcW w:w="260" w:type="dxa"/>
            <w:vAlign w:val="bottom"/>
          </w:tcPr>
          <w:p>
            <w:pPr>
              <w:spacing w:after="0"/>
              <w:rPr>
                <w:sz w:val="18"/>
                <w:szCs w:val="18"/>
                <w:color w:val="auto"/>
              </w:rPr>
            </w:pPr>
          </w:p>
        </w:tc>
        <w:tc>
          <w:tcPr>
            <w:tcW w:w="10180" w:type="dxa"/>
            <w:vAlign w:val="bottom"/>
            <w:gridSpan w:val="17"/>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6"/>
        </w:trPr>
        <w:tc>
          <w:tcPr>
            <w:tcW w:w="800" w:type="dxa"/>
            <w:vAlign w:val="bottom"/>
          </w:tcPr>
          <w:p>
            <w:pPr>
              <w:ind w:left="20"/>
              <w:spacing w:after="0"/>
              <w:rPr>
                <w:sz w:val="20"/>
                <w:szCs w:val="20"/>
                <w:color w:val="auto"/>
              </w:rPr>
            </w:pPr>
            <w:r>
              <w:rPr>
                <w:rFonts w:ascii="Arial" w:cs="Arial" w:eastAsia="Arial" w:hAnsi="Arial"/>
                <w:sz w:val="16"/>
                <w:szCs w:val="16"/>
                <w:color w:val="auto"/>
              </w:rPr>
              <w:t>101.PRE</w:t>
            </w:r>
          </w:p>
        </w:tc>
        <w:tc>
          <w:tcPr>
            <w:tcW w:w="260" w:type="dxa"/>
            <w:vAlign w:val="bottom"/>
          </w:tcPr>
          <w:p>
            <w:pPr>
              <w:spacing w:after="0"/>
              <w:rPr>
                <w:sz w:val="18"/>
                <w:szCs w:val="18"/>
                <w:color w:val="auto"/>
              </w:rPr>
            </w:pPr>
          </w:p>
        </w:tc>
        <w:tc>
          <w:tcPr>
            <w:tcW w:w="10180" w:type="dxa"/>
            <w:vAlign w:val="bottom"/>
            <w:gridSpan w:val="17"/>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54" w:name="page55"/>
    <w:bookmarkEnd w:id="54"/>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7"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P10, Inc.</w:t>
      </w:r>
    </w:p>
    <w:p>
      <w:pPr>
        <w:spacing w:after="0" w:line="279" w:lineRule="exact"/>
        <w:rPr>
          <w:sz w:val="20"/>
          <w:szCs w:val="20"/>
          <w:color w:val="auto"/>
        </w:rPr>
      </w:pPr>
    </w:p>
    <w:p>
      <w:pPr>
        <w:ind w:left="20"/>
        <w:spacing w:after="0"/>
        <w:tabs>
          <w:tab w:leader="none" w:pos="5680" w:val="left"/>
          <w:tab w:leader="none" w:pos="8080" w:val="left"/>
        </w:tabs>
        <w:rPr>
          <w:sz w:val="20"/>
          <w:szCs w:val="20"/>
          <w:color w:val="auto"/>
        </w:rPr>
      </w:pPr>
      <w:r>
        <w:rPr>
          <w:rFonts w:ascii="Arial" w:cs="Arial" w:eastAsia="Arial" w:hAnsi="Arial"/>
          <w:sz w:val="18"/>
          <w:szCs w:val="18"/>
          <w:color w:val="auto"/>
        </w:rPr>
        <w:t>Date: November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23495</wp:posOffset>
            </wp:positionV>
            <wp:extent cx="32315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4">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26"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Robert Alpert</w:t>
      </w:r>
    </w:p>
    <w:p>
      <w:pPr>
        <w:spacing w:after="0" w:line="36"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Co-Chief Executive Officer</w:t>
      </w:r>
    </w:p>
    <w:p>
      <w:pPr>
        <w:spacing w:after="0" w:line="283" w:lineRule="exact"/>
        <w:rPr>
          <w:sz w:val="20"/>
          <w:szCs w:val="20"/>
          <w:color w:val="auto"/>
        </w:rPr>
      </w:pPr>
    </w:p>
    <w:p>
      <w:pPr>
        <w:ind w:left="20"/>
        <w:spacing w:after="0"/>
        <w:tabs>
          <w:tab w:leader="none" w:pos="5680" w:val="left"/>
          <w:tab w:leader="none" w:pos="8040" w:val="left"/>
        </w:tabs>
        <w:rPr>
          <w:sz w:val="20"/>
          <w:szCs w:val="20"/>
          <w:color w:val="auto"/>
        </w:rPr>
      </w:pPr>
      <w:r>
        <w:rPr>
          <w:rFonts w:ascii="Arial" w:cs="Arial" w:eastAsia="Arial" w:hAnsi="Arial"/>
          <w:sz w:val="18"/>
          <w:szCs w:val="18"/>
          <w:color w:val="auto"/>
        </w:rPr>
        <w:t>Date: November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23495</wp:posOffset>
            </wp:positionV>
            <wp:extent cx="323151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5">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spacing w:after="0" w:line="26"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C. Clark Webb</w:t>
      </w:r>
    </w:p>
    <w:p>
      <w:pPr>
        <w:spacing w:after="0" w:line="36"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Co-Chief Executive Officer</w:t>
      </w:r>
    </w:p>
    <w:p>
      <w:pPr>
        <w:spacing w:after="0" w:line="283" w:lineRule="exact"/>
        <w:rPr>
          <w:sz w:val="20"/>
          <w:szCs w:val="20"/>
          <w:color w:val="auto"/>
        </w:rPr>
      </w:pPr>
    </w:p>
    <w:p>
      <w:pPr>
        <w:ind w:left="20"/>
        <w:spacing w:after="0"/>
        <w:tabs>
          <w:tab w:leader="none" w:pos="5680" w:val="left"/>
          <w:tab w:leader="none" w:pos="7900" w:val="left"/>
        </w:tabs>
        <w:rPr>
          <w:sz w:val="20"/>
          <w:szCs w:val="20"/>
          <w:color w:val="auto"/>
        </w:rPr>
      </w:pPr>
      <w:r>
        <w:rPr>
          <w:rFonts w:ascii="Arial" w:cs="Arial" w:eastAsia="Arial" w:hAnsi="Arial"/>
          <w:sz w:val="18"/>
          <w:szCs w:val="18"/>
          <w:color w:val="auto"/>
        </w:rPr>
        <w:t>Date: November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23495</wp:posOffset>
            </wp:positionV>
            <wp:extent cx="323151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6">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26"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Amanda Coussens</w:t>
      </w:r>
    </w:p>
    <w:p>
      <w:pPr>
        <w:spacing w:after="0" w:line="36" w:lineRule="exact"/>
        <w:rPr>
          <w:sz w:val="20"/>
          <w:szCs w:val="20"/>
          <w:color w:val="auto"/>
        </w:rPr>
      </w:pPr>
    </w:p>
    <w:p>
      <w:pPr>
        <w:jc w:val="center"/>
        <w:ind w:left="6120"/>
        <w:spacing w:after="0"/>
        <w:rPr>
          <w:sz w:val="20"/>
          <w:szCs w:val="20"/>
          <w:color w:val="auto"/>
        </w:rPr>
      </w:pPr>
      <w:r>
        <w:rPr>
          <w:rFonts w:ascii="Arial" w:cs="Arial" w:eastAsia="Arial" w:hAnsi="Arial"/>
          <w:sz w:val="18"/>
          <w:szCs w:val="18"/>
          <w:b w:val="1"/>
          <w:bCs w:val="1"/>
          <w:color w:val="auto"/>
        </w:rPr>
        <w:t>Chief Financial Officer</w:t>
      </w: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179705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 Robert Alpert, certify that:</w:t>
      </w:r>
    </w:p>
    <w:p>
      <w:pPr>
        <w:spacing w:after="0" w:line="130" w:lineRule="exact"/>
        <w:rPr>
          <w:sz w:val="20"/>
          <w:szCs w:val="20"/>
          <w:color w:val="auto"/>
        </w:rPr>
      </w:pPr>
    </w:p>
    <w:p>
      <w:pPr>
        <w:ind w:left="960" w:hanging="443"/>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Form 10-Q of P10, Inc.;</w:t>
      </w:r>
    </w:p>
    <w:p>
      <w:pPr>
        <w:spacing w:after="0" w:line="130" w:lineRule="exact"/>
        <w:rPr>
          <w:rFonts w:ascii="Arial" w:cs="Arial" w:eastAsia="Arial" w:hAnsi="Arial"/>
          <w:sz w:val="18"/>
          <w:szCs w:val="18"/>
          <w:color w:val="auto"/>
        </w:rPr>
      </w:pPr>
    </w:p>
    <w:p>
      <w:pPr>
        <w:jc w:val="both"/>
        <w:ind w:left="960" w:right="80" w:hanging="443"/>
        <w:spacing w:after="0" w:line="279"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960" w:right="40" w:hanging="443"/>
        <w:spacing w:after="0" w:line="324" w:lineRule="auto"/>
        <w:tabs>
          <w:tab w:leader="none" w:pos="960" w:val="left"/>
        </w:tabs>
        <w:numPr>
          <w:ilvl w:val="0"/>
          <w:numId w:val="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960" w:hanging="443"/>
        <w:spacing w:after="0" w:line="299" w:lineRule="auto"/>
        <w:tabs>
          <w:tab w:leader="none" w:pos="9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2" w:lineRule="exact"/>
        <w:rPr>
          <w:rFonts w:ascii="Arial" w:cs="Arial" w:eastAsia="Arial" w:hAnsi="Arial"/>
          <w:sz w:val="16"/>
          <w:szCs w:val="16"/>
          <w:color w:val="auto"/>
        </w:rPr>
      </w:pPr>
    </w:p>
    <w:p>
      <w:pPr>
        <w:ind w:left="2040" w:right="220" w:firstLine="5"/>
        <w:spacing w:after="0" w:line="299" w:lineRule="auto"/>
        <w:tabs>
          <w:tab w:leader="none" w:pos="2510"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2040" w:right="320" w:firstLine="5"/>
        <w:spacing w:after="0" w:line="299" w:lineRule="auto"/>
        <w:tabs>
          <w:tab w:leader="none" w:pos="2520" w:val="left"/>
        </w:tabs>
        <w:numPr>
          <w:ilvl w:val="1"/>
          <w:numId w:val="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2040" w:right="60" w:firstLine="5"/>
        <w:spacing w:after="0" w:line="266" w:lineRule="auto"/>
        <w:tabs>
          <w:tab w:leader="none" w:pos="251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2040" w:right="240" w:firstLine="5"/>
        <w:spacing w:after="0" w:line="329" w:lineRule="auto"/>
        <w:tabs>
          <w:tab w:leader="none" w:pos="2520" w:val="left"/>
        </w:tabs>
        <w:numPr>
          <w:ilvl w:val="1"/>
          <w:numId w:val="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6"/>
          <w:szCs w:val="16"/>
          <w:color w:val="auto"/>
        </w:rPr>
      </w:pPr>
    </w:p>
    <w:p>
      <w:pPr>
        <w:ind w:left="960" w:right="520" w:hanging="443"/>
        <w:spacing w:after="0" w:line="266"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8"/>
          <w:szCs w:val="18"/>
          <w:color w:val="auto"/>
        </w:rPr>
      </w:pPr>
    </w:p>
    <w:p>
      <w:pPr>
        <w:ind w:left="2040" w:right="560" w:firstLine="5"/>
        <w:spacing w:after="0" w:line="266" w:lineRule="auto"/>
        <w:tabs>
          <w:tab w:leader="none" w:pos="251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2040" w:right="360" w:firstLine="5"/>
        <w:spacing w:after="0" w:line="292" w:lineRule="auto"/>
        <w:tabs>
          <w:tab w:leader="none" w:pos="2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November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Robert Alpert</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 C. Clark Webb, certify that:</w:t>
      </w:r>
    </w:p>
    <w:p>
      <w:pPr>
        <w:spacing w:after="0" w:line="130" w:lineRule="exact"/>
        <w:rPr>
          <w:sz w:val="20"/>
          <w:szCs w:val="20"/>
          <w:color w:val="auto"/>
        </w:rPr>
      </w:pPr>
    </w:p>
    <w:p>
      <w:pPr>
        <w:ind w:left="960" w:hanging="443"/>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Form 10-Q of P10, Inc.;</w:t>
      </w:r>
    </w:p>
    <w:p>
      <w:pPr>
        <w:spacing w:after="0" w:line="130" w:lineRule="exact"/>
        <w:rPr>
          <w:rFonts w:ascii="Arial" w:cs="Arial" w:eastAsia="Arial" w:hAnsi="Arial"/>
          <w:sz w:val="18"/>
          <w:szCs w:val="18"/>
          <w:color w:val="auto"/>
        </w:rPr>
      </w:pPr>
    </w:p>
    <w:p>
      <w:pPr>
        <w:jc w:val="both"/>
        <w:ind w:left="960" w:right="80" w:hanging="443"/>
        <w:spacing w:after="0" w:line="279"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960" w:right="40" w:hanging="443"/>
        <w:spacing w:after="0" w:line="324" w:lineRule="auto"/>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960" w:hanging="443"/>
        <w:spacing w:after="0" w:line="299" w:lineRule="auto"/>
        <w:tabs>
          <w:tab w:leader="none" w:pos="9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2" w:lineRule="exact"/>
        <w:rPr>
          <w:rFonts w:ascii="Arial" w:cs="Arial" w:eastAsia="Arial" w:hAnsi="Arial"/>
          <w:sz w:val="16"/>
          <w:szCs w:val="16"/>
          <w:color w:val="auto"/>
        </w:rPr>
      </w:pPr>
    </w:p>
    <w:p>
      <w:pPr>
        <w:ind w:left="2040" w:right="220" w:firstLine="5"/>
        <w:spacing w:after="0" w:line="299" w:lineRule="auto"/>
        <w:tabs>
          <w:tab w:leader="none" w:pos="251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2040" w:right="320" w:firstLine="5"/>
        <w:spacing w:after="0" w:line="299" w:lineRule="auto"/>
        <w:tabs>
          <w:tab w:leader="none" w:pos="252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2040" w:right="60" w:firstLine="5"/>
        <w:spacing w:after="0" w:line="266" w:lineRule="auto"/>
        <w:tabs>
          <w:tab w:leader="none" w:pos="251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2040" w:right="240" w:firstLine="5"/>
        <w:spacing w:after="0" w:line="329" w:lineRule="auto"/>
        <w:tabs>
          <w:tab w:leader="none" w:pos="252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6"/>
          <w:szCs w:val="16"/>
          <w:color w:val="auto"/>
        </w:rPr>
      </w:pPr>
    </w:p>
    <w:p>
      <w:pPr>
        <w:ind w:left="960" w:right="520" w:hanging="443"/>
        <w:spacing w:after="0" w:line="266"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8"/>
          <w:szCs w:val="18"/>
          <w:color w:val="auto"/>
        </w:rPr>
      </w:pPr>
    </w:p>
    <w:p>
      <w:pPr>
        <w:ind w:left="2040" w:right="560" w:firstLine="5"/>
        <w:spacing w:after="0" w:line="266" w:lineRule="auto"/>
        <w:tabs>
          <w:tab w:leader="none" w:pos="251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2040" w:right="360" w:firstLine="5"/>
        <w:spacing w:after="0" w:line="292" w:lineRule="auto"/>
        <w:tabs>
          <w:tab w:leader="none" w:pos="2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November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0">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 Clark Webb</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ind w:left="2080"/>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23"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 Amanda Coussens, certify that:</w:t>
      </w:r>
    </w:p>
    <w:p>
      <w:pPr>
        <w:spacing w:after="0" w:line="130" w:lineRule="exact"/>
        <w:rPr>
          <w:sz w:val="20"/>
          <w:szCs w:val="20"/>
          <w:color w:val="auto"/>
        </w:rPr>
      </w:pPr>
    </w:p>
    <w:p>
      <w:pPr>
        <w:ind w:left="960" w:hanging="443"/>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Form 10-Q of P10, Inc.;</w:t>
      </w:r>
    </w:p>
    <w:p>
      <w:pPr>
        <w:spacing w:after="0" w:line="130" w:lineRule="exact"/>
        <w:rPr>
          <w:rFonts w:ascii="Arial" w:cs="Arial" w:eastAsia="Arial" w:hAnsi="Arial"/>
          <w:sz w:val="18"/>
          <w:szCs w:val="18"/>
          <w:color w:val="auto"/>
        </w:rPr>
      </w:pPr>
    </w:p>
    <w:p>
      <w:pPr>
        <w:jc w:val="both"/>
        <w:ind w:left="960" w:right="80" w:hanging="443"/>
        <w:spacing w:after="0" w:line="279"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960" w:right="40" w:hanging="443"/>
        <w:spacing w:after="0" w:line="324" w:lineRule="auto"/>
        <w:tabs>
          <w:tab w:leader="none" w:pos="9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jc w:val="both"/>
        <w:ind w:left="960" w:hanging="443"/>
        <w:spacing w:after="0" w:line="299" w:lineRule="auto"/>
        <w:tabs>
          <w:tab w:leader="none" w:pos="9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2" w:lineRule="exact"/>
        <w:rPr>
          <w:rFonts w:ascii="Arial" w:cs="Arial" w:eastAsia="Arial" w:hAnsi="Arial"/>
          <w:sz w:val="16"/>
          <w:szCs w:val="16"/>
          <w:color w:val="auto"/>
        </w:rPr>
      </w:pPr>
    </w:p>
    <w:p>
      <w:pPr>
        <w:ind w:left="2040" w:right="220" w:firstLine="5"/>
        <w:spacing w:after="0" w:line="299" w:lineRule="auto"/>
        <w:tabs>
          <w:tab w:leader="none" w:pos="251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2040" w:right="320" w:firstLine="5"/>
        <w:spacing w:after="0" w:line="299" w:lineRule="auto"/>
        <w:tabs>
          <w:tab w:leader="none" w:pos="25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2040" w:right="60" w:firstLine="5"/>
        <w:spacing w:after="0" w:line="266" w:lineRule="auto"/>
        <w:tabs>
          <w:tab w:leader="none" w:pos="251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2040" w:right="240" w:firstLine="5"/>
        <w:spacing w:after="0" w:line="329" w:lineRule="auto"/>
        <w:tabs>
          <w:tab w:leader="none" w:pos="25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9" w:lineRule="exact"/>
        <w:rPr>
          <w:rFonts w:ascii="Arial" w:cs="Arial" w:eastAsia="Arial" w:hAnsi="Arial"/>
          <w:sz w:val="16"/>
          <w:szCs w:val="16"/>
          <w:color w:val="auto"/>
        </w:rPr>
      </w:pPr>
    </w:p>
    <w:p>
      <w:pPr>
        <w:ind w:left="960" w:right="520" w:hanging="443"/>
        <w:spacing w:after="0" w:line="266"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8"/>
          <w:szCs w:val="18"/>
          <w:color w:val="auto"/>
        </w:rPr>
      </w:pPr>
    </w:p>
    <w:p>
      <w:pPr>
        <w:ind w:left="2040" w:right="560" w:firstLine="5"/>
        <w:spacing w:after="0" w:line="266" w:lineRule="auto"/>
        <w:tabs>
          <w:tab w:leader="none" w:pos="251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2040" w:right="360" w:firstLine="5"/>
        <w:spacing w:after="0" w:line="292" w:lineRule="auto"/>
        <w:tabs>
          <w:tab w:leader="none" w:pos="25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20"/>
        <w:spacing w:after="0"/>
        <w:tabs>
          <w:tab w:leader="none" w:pos="5680" w:val="left"/>
          <w:tab w:leader="none" w:pos="7840" w:val="left"/>
        </w:tabs>
        <w:rPr>
          <w:sz w:val="20"/>
          <w:szCs w:val="20"/>
          <w:color w:val="auto"/>
        </w:rPr>
      </w:pPr>
      <w:r>
        <w:rPr>
          <w:rFonts w:ascii="Arial" w:cs="Arial" w:eastAsia="Arial" w:hAnsi="Arial"/>
          <w:sz w:val="18"/>
          <w:szCs w:val="18"/>
          <w:color w:val="auto"/>
        </w:rPr>
        <w:t>Date: November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Amanda Coussens</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In connection with the Quarterly Report of P10, Inc. (the “Company”) on Form 10-Q for the period ending September 30, 2021 as filed with the Securities and Exchange Commission on the date hereof (the “Report”), I certify, pursuant to 18 U.S.C. § 1350, as adopted pursuant to § 906 of the Sarbanes-Oxley Act of 2002, that:</w:t>
      </w:r>
    </w:p>
    <w:p>
      <w:pPr>
        <w:ind w:left="480" w:hanging="472"/>
        <w:spacing w:after="0"/>
        <w:tabs>
          <w:tab w:leader="none" w:pos="4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 w:lineRule="exact"/>
        <w:rPr>
          <w:rFonts w:ascii="Arial" w:cs="Arial" w:eastAsia="Arial" w:hAnsi="Arial"/>
          <w:sz w:val="18"/>
          <w:szCs w:val="18"/>
          <w:color w:val="auto"/>
        </w:rPr>
      </w:pPr>
    </w:p>
    <w:p>
      <w:pPr>
        <w:ind w:left="480" w:hanging="472"/>
        <w:spacing w:after="0"/>
        <w:tabs>
          <w:tab w:leader="none" w:pos="4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03" w:lineRule="exact"/>
        <w:rPr>
          <w:sz w:val="20"/>
          <w:szCs w:val="20"/>
          <w:color w:val="auto"/>
        </w:rPr>
      </w:pPr>
    </w:p>
    <w:p>
      <w:pPr>
        <w:ind w:left="20"/>
        <w:spacing w:after="0"/>
        <w:tabs>
          <w:tab w:leader="none" w:pos="5680" w:val="left"/>
          <w:tab w:leader="none" w:pos="8020" w:val="left"/>
        </w:tabs>
        <w:rPr>
          <w:sz w:val="20"/>
          <w:szCs w:val="20"/>
          <w:color w:val="auto"/>
        </w:rPr>
      </w:pPr>
      <w:r>
        <w:rPr>
          <w:rFonts w:ascii="Arial" w:cs="Arial" w:eastAsia="Arial" w:hAnsi="Arial"/>
          <w:sz w:val="18"/>
          <w:szCs w:val="18"/>
          <w:color w:val="auto"/>
        </w:rPr>
        <w:t>Date: November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Robert Alpert</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In connection with the Quarterly Report of P10, Inc. (the “Company”) on Form 10-Q for the period ending September 30, 2021 as filed with the Securities and Exchange Commission on the date hereof (the “Report”), I certify, pursuant to 18 U.S.C. § 1350, as adopted pursuant to § 906 of the Sarbanes-Oxley Act of 2002, that:</w:t>
      </w:r>
    </w:p>
    <w:p>
      <w:pPr>
        <w:ind w:left="480" w:hanging="472"/>
        <w:spacing w:after="0"/>
        <w:tabs>
          <w:tab w:leader="none" w:pos="4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 w:lineRule="exact"/>
        <w:rPr>
          <w:rFonts w:ascii="Arial" w:cs="Arial" w:eastAsia="Arial" w:hAnsi="Arial"/>
          <w:sz w:val="18"/>
          <w:szCs w:val="18"/>
          <w:color w:val="auto"/>
        </w:rPr>
      </w:pPr>
    </w:p>
    <w:p>
      <w:pPr>
        <w:ind w:left="480" w:hanging="472"/>
        <w:spacing w:after="0"/>
        <w:tabs>
          <w:tab w:leader="none" w:pos="4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03" w:lineRule="exact"/>
        <w:rPr>
          <w:sz w:val="20"/>
          <w:szCs w:val="20"/>
          <w:color w:val="auto"/>
        </w:rPr>
      </w:pPr>
    </w:p>
    <w:p>
      <w:pPr>
        <w:ind w:left="20"/>
        <w:spacing w:after="0"/>
        <w:tabs>
          <w:tab w:leader="none" w:pos="5680" w:val="left"/>
          <w:tab w:leader="none" w:pos="7980" w:val="left"/>
        </w:tabs>
        <w:rPr>
          <w:sz w:val="20"/>
          <w:szCs w:val="20"/>
          <w:color w:val="auto"/>
        </w:rPr>
      </w:pPr>
      <w:r>
        <w:rPr>
          <w:rFonts w:ascii="Arial" w:cs="Arial" w:eastAsia="Arial" w:hAnsi="Arial"/>
          <w:sz w:val="18"/>
          <w:szCs w:val="18"/>
          <w:color w:val="auto"/>
        </w:rPr>
        <w:t>Date: November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 Clark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 Clark Webb</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color w:val="auto"/>
        </w:rPr>
        <w:t>In connection with the Quarterly Report of P10, Inc. (the “Company”) on Form 10-Q for the period ending September 30, 2021 as filed with the Securities and Exchange Commission on the date hereof (the “Report”), I certify, pursuant to 18 U.S.C. § 1350, as adopted pursuant to § 906 of the Sarbanes-Oxley Act of 2002, that:</w:t>
      </w:r>
    </w:p>
    <w:p>
      <w:pPr>
        <w:ind w:left="480" w:hanging="472"/>
        <w:spacing w:after="0"/>
        <w:tabs>
          <w:tab w:leader="none" w:pos="4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 w:lineRule="exact"/>
        <w:rPr>
          <w:rFonts w:ascii="Arial" w:cs="Arial" w:eastAsia="Arial" w:hAnsi="Arial"/>
          <w:sz w:val="18"/>
          <w:szCs w:val="18"/>
          <w:color w:val="auto"/>
        </w:rPr>
      </w:pPr>
    </w:p>
    <w:p>
      <w:pPr>
        <w:ind w:left="480" w:hanging="472"/>
        <w:spacing w:after="0"/>
        <w:tabs>
          <w:tab w:leader="none" w:pos="4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303" w:lineRule="exact"/>
        <w:rPr>
          <w:sz w:val="20"/>
          <w:szCs w:val="20"/>
          <w:color w:val="auto"/>
        </w:rPr>
      </w:pPr>
    </w:p>
    <w:p>
      <w:pPr>
        <w:ind w:left="20"/>
        <w:spacing w:after="0"/>
        <w:tabs>
          <w:tab w:leader="none" w:pos="5680" w:val="left"/>
          <w:tab w:leader="none" w:pos="7840" w:val="left"/>
        </w:tabs>
        <w:rPr>
          <w:sz w:val="20"/>
          <w:szCs w:val="20"/>
          <w:color w:val="auto"/>
        </w:rPr>
      </w:pPr>
      <w:r>
        <w:rPr>
          <w:rFonts w:ascii="Arial" w:cs="Arial" w:eastAsia="Arial" w:hAnsi="Arial"/>
          <w:sz w:val="18"/>
          <w:szCs w:val="18"/>
          <w:color w:val="auto"/>
        </w:rPr>
        <w:t>Date: November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Amanda Coussens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8">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Amanda Coussens</w:t>
      </w:r>
    </w:p>
    <w:p>
      <w:pPr>
        <w:spacing w:after="0" w:line="36"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61" w:name="page62"/>
    <w:bookmarkEnd w:id="6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Roman"/>
      <w:start w:val="1"/>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1)"/>
      <w:numFmt w:val="decimal"/>
      <w:start w:val="1"/>
    </w:lvl>
  </w:abstractNum>
  <w:abstractNum w:abstractNumId="5">
    <w:nsid w:val="12200854"/>
    <w:multiLevelType w:val="hybridMultilevel"/>
    <w:lvl w:ilvl="0">
      <w:lvlJc w:val="left"/>
      <w:lvlText w:val="%1)"/>
      <w:numFmt w:val="decimal"/>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lvl w:ilvl="1">
      <w:lvlJc w:val="left"/>
      <w:lvlText w:val="(%2)"/>
      <w:numFmt w:val="lowerLetter"/>
      <w:start w:val="1"/>
    </w:lvl>
  </w:abstractNum>
  <w:abstractNum w:abstractNumId="8">
    <w:nsid w:val="1F16E9E8"/>
    <w:multiLevelType w:val="hybridMultilevel"/>
    <w:lvl w:ilvl="0">
      <w:lvlJc w:val="left"/>
      <w:lvlText w:val="%1."/>
      <w:numFmt w:val="decimal"/>
      <w:start w:val="1"/>
    </w:lvl>
    <w:lvl w:ilvl="1">
      <w:lvlJc w:val="left"/>
      <w:lvlText w:val="(%2)"/>
      <w:numFmt w:val="lowerLetter"/>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42" Type="http://schemas.openxmlformats.org/officeDocument/2006/relationships/image" Target="media/image326.png"/><Relationship Id="rId343" Type="http://schemas.openxmlformats.org/officeDocument/2006/relationships/image" Target="media/image327.png"/><Relationship Id="rId344" Type="http://schemas.openxmlformats.org/officeDocument/2006/relationships/image" Target="media/image328.png"/><Relationship Id="rId345" Type="http://schemas.openxmlformats.org/officeDocument/2006/relationships/image" Target="media/image329.png"/><Relationship Id="rId346" Type="http://schemas.openxmlformats.org/officeDocument/2006/relationships/image" Target="media/image330.png"/><Relationship Id="rId347" Type="http://schemas.openxmlformats.org/officeDocument/2006/relationships/image" Target="media/image331.png"/><Relationship Id="rId348" Type="http://schemas.openxmlformats.org/officeDocument/2006/relationships/image" Target="media/image332.png"/><Relationship Id="rId349" Type="http://schemas.openxmlformats.org/officeDocument/2006/relationships/image" Target="media/image333.png"/><Relationship Id="rId350" Type="http://schemas.openxmlformats.org/officeDocument/2006/relationships/image" Target="media/image334.png"/><Relationship Id="rId351" Type="http://schemas.openxmlformats.org/officeDocument/2006/relationships/image" Target="media/image335.png"/><Relationship Id="rId352" Type="http://schemas.openxmlformats.org/officeDocument/2006/relationships/image" Target="media/image336.png"/><Relationship Id="rId353" Type="http://schemas.openxmlformats.org/officeDocument/2006/relationships/image" Target="media/image337.png"/><Relationship Id="rId354" Type="http://schemas.openxmlformats.org/officeDocument/2006/relationships/image" Target="media/image338.png"/><Relationship Id="rId355" Type="http://schemas.openxmlformats.org/officeDocument/2006/relationships/image" Target="media/image339.png"/><Relationship Id="rId356" Type="http://schemas.openxmlformats.org/officeDocument/2006/relationships/image" Target="media/image340.png"/><Relationship Id="rId357" Type="http://schemas.openxmlformats.org/officeDocument/2006/relationships/image" Target="media/image341.png"/><Relationship Id="rId358" Type="http://schemas.openxmlformats.org/officeDocument/2006/relationships/image" Target="media/image342.png"/><Relationship Id="rId359" Type="http://schemas.openxmlformats.org/officeDocument/2006/relationships/image" Target="media/image343.png"/><Relationship Id="rId333" Type="http://schemas.openxmlformats.org/officeDocument/2006/relationships/hyperlink" Target="https://www.sec.gov/Archives/edgar/data/1841968/000119312521308150/d247132dex31.htm" TargetMode="External"/><Relationship Id="rId334" Type="http://schemas.openxmlformats.org/officeDocument/2006/relationships/hyperlink" Target="https://www.sec.gov/Archives/edgar/data/1841968/000119312521308150/d247132dex32.htm" TargetMode="External"/><Relationship Id="rId335" Type="http://schemas.openxmlformats.org/officeDocument/2006/relationships/hyperlink" Target="https://www.sec.gov/Archives/edgar/data/1841968/000119312521308150/d247132dex41.htm" TargetMode="External"/><Relationship Id="rId336" Type="http://schemas.openxmlformats.org/officeDocument/2006/relationships/hyperlink" Target="https://www.sec.gov/Archives/edgar/data/1841968/000119312521296382/d118332dex1023.htm" TargetMode="External"/><Relationship Id="rId337" Type="http://schemas.openxmlformats.org/officeDocument/2006/relationships/hyperlink" Target="https://www.sec.gov/Archives/edgar/data/1841968/000119312521296382/d118332dex1024.htm" TargetMode="External"/><Relationship Id="rId338" Type="http://schemas.openxmlformats.org/officeDocument/2006/relationships/hyperlink" Target="https://www.sec.gov/Archives/edgar/data/1841968/000119312521308150/d247132dex101.htm" TargetMode="External"/><Relationship Id="rId339" Type="http://schemas.openxmlformats.org/officeDocument/2006/relationships/hyperlink" Target="https://www.sec.gov/Archives/edgar/data/1841968/000119312521308150/d247132dex102.htm" TargetMode="External"/><Relationship Id="rId340" Type="http://schemas.openxmlformats.org/officeDocument/2006/relationships/hyperlink" Target="https://www.sec.gov/Archives/edgar/data/1841968/000119312521284294/d118332dex103.htm" TargetMode="External"/><Relationship Id="rId341" Type="http://schemas.openxmlformats.org/officeDocument/2006/relationships/hyperlink" Target="https://www.sec.gov/Archives/edgar/data/1841968/000119312521300289/d11833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2021-11-22T13:08:32Z</dcterms:created>
  <dcterms:modified xsi:type="dcterms:W3CDTF">2021-11-22T13:08:32Z</dcterms:modified>
</cp:coreProperties>
</file>