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(AMENDMENT NO. )</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P10, Inc. Class A</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69376K106</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April 30, 2024</w:t>
      </w:r>
    </w:p>
    <w:p>
      <w:pPr>
        <w:spacing w:after="0" w:line="2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jc w:val="center"/>
        <w:ind w:right="18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1</w:t>
            </w: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NAME OF REPORTING PERSON</w:t>
            </w:r>
          </w:p>
        </w:tc>
        <w:tc>
          <w:tcPr>
            <w:tcW w:w="174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spacing w:after="0"/>
              <w:rPr>
                <w:sz w:val="24"/>
                <w:szCs w:val="24"/>
                <w:color w:val="auto"/>
              </w:rPr>
            </w:pPr>
          </w:p>
        </w:tc>
      </w:tr>
      <w:tr>
        <w:trPr>
          <w:trHeight w:val="343"/>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River Road Asset Management, LLC</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43-2076925</w:t>
            </w: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120" w:type="dxa"/>
        <w:tblCellMar>
          <w:top w:w="0" w:type="dxa"/>
          <w:left w:w="0" w:type="dxa"/>
          <w:bottom w:w="0" w:type="dxa"/>
          <w:right w:w="0" w:type="dxa"/>
        </w:tblCellMar>
      </w:tblPr>
      <w:tr>
        <w:trPr>
          <w:trHeight w:val="192"/>
        </w:trPr>
        <w:tc>
          <w:tcPr>
            <w:tcW w:w="360" w:type="dxa"/>
            <w:vAlign w:val="bottom"/>
          </w:tcPr>
          <w:p>
            <w:pPr>
              <w:jc w:val="right"/>
              <w:ind w:right="172"/>
              <w:spacing w:after="0" w:line="192" w:lineRule="exact"/>
              <w:rPr>
                <w:sz w:val="20"/>
                <w:szCs w:val="20"/>
                <w:color w:val="auto"/>
              </w:rPr>
            </w:pPr>
            <w:r>
              <w:rPr>
                <w:rFonts w:ascii="Courier New" w:cs="Courier New" w:eastAsia="Courier New" w:hAnsi="Courier New"/>
                <w:sz w:val="18"/>
                <w:szCs w:val="18"/>
                <w:color w:val="auto"/>
                <w:w w:val="73"/>
              </w:rPr>
              <w:t>2</w:t>
            </w:r>
          </w:p>
        </w:tc>
        <w:tc>
          <w:tcPr>
            <w:tcW w:w="6320" w:type="dxa"/>
            <w:vAlign w:val="bottom"/>
          </w:tcPr>
          <w:p>
            <w:pPr>
              <w:ind w:left="260"/>
              <w:spacing w:after="0" w:line="192"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640" w:type="dxa"/>
            <w:vAlign w:val="bottom"/>
          </w:tcPr>
          <w:p>
            <w:pPr>
              <w:ind w:left="900"/>
              <w:spacing w:after="0" w:line="192" w:lineRule="exact"/>
              <w:rPr>
                <w:sz w:val="20"/>
                <w:szCs w:val="20"/>
                <w:color w:val="auto"/>
              </w:rPr>
            </w:pPr>
            <w:r>
              <w:rPr>
                <w:rFonts w:ascii="Courier New" w:cs="Courier New" w:eastAsia="Courier New" w:hAnsi="Courier New"/>
                <w:sz w:val="18"/>
                <w:szCs w:val="18"/>
                <w:color w:val="auto"/>
                <w:w w:val="95"/>
              </w:rPr>
              <w:t>(a) [_]</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6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N/A</w:t>
            </w: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w w:val="95"/>
              </w:rPr>
              <w:t>(b) [_]</w:t>
            </w:r>
          </w:p>
        </w:tc>
        <w:tc>
          <w:tcPr>
            <w:tcW w:w="0" w:type="dxa"/>
            <w:vAlign w:val="bottom"/>
          </w:tcPr>
          <w:p>
            <w:pPr>
              <w:spacing w:after="0"/>
              <w:rPr>
                <w:sz w:val="1"/>
                <w:szCs w:val="1"/>
                <w:color w:val="auto"/>
              </w:rPr>
            </w:pPr>
          </w:p>
        </w:tc>
      </w:tr>
      <w:tr>
        <w:trPr>
          <w:trHeight w:val="141"/>
        </w:trPr>
        <w:tc>
          <w:tcPr>
            <w:tcW w:w="360" w:type="dxa"/>
            <w:vAlign w:val="bottom"/>
          </w:tcPr>
          <w:p>
            <w:pPr>
              <w:spacing w:after="0"/>
              <w:rPr>
                <w:sz w:val="12"/>
                <w:szCs w:val="12"/>
                <w:color w:val="auto"/>
              </w:rPr>
            </w:pPr>
          </w:p>
        </w:tc>
        <w:tc>
          <w:tcPr>
            <w:tcW w:w="63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627"/>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tbl>
      <w:tblPr>
        <w:tblLayout w:type="fixed"/>
        <w:tblInd w:w="540" w:type="dxa"/>
        <w:tblCellMar>
          <w:top w:w="0" w:type="dxa"/>
          <w:left w:w="0" w:type="dxa"/>
          <w:bottom w:w="0" w:type="dxa"/>
          <w:right w:w="0" w:type="dxa"/>
        </w:tblCellMar>
      </w:tblPr>
      <w:tr>
        <w:trPr>
          <w:trHeight w:val="296"/>
        </w:trPr>
        <w:tc>
          <w:tcPr>
            <w:tcW w:w="14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6,191,891</w:t>
            </w: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6</w:t>
            </w:r>
            <w:r>
              <w:rPr>
                <w:rFonts w:ascii="Courier New" w:cs="Courier New" w:eastAsia="Courier New" w:hAnsi="Courier New"/>
                <w:sz w:val="2"/>
                <w:szCs w:val="2"/>
                <w:color w:val="auto"/>
                <w:w w:val="99"/>
              </w:rPr>
              <w:t>-----------------------------------------------------------</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960" w:type="dxa"/>
            <w:vAlign w:val="bottom"/>
            <w:vMerge w:val="restart"/>
          </w:tcPr>
          <w:p>
            <w:pPr>
              <w:ind w:left="220"/>
              <w:spacing w:after="0"/>
              <w:rPr>
                <w:sz w:val="20"/>
                <w:szCs w:val="20"/>
                <w:color w:val="auto"/>
              </w:rPr>
            </w:pPr>
            <w:r>
              <w:rPr>
                <w:rFonts w:ascii="Courier New" w:cs="Courier New" w:eastAsia="Courier New" w:hAnsi="Courier New"/>
                <w:sz w:val="4"/>
                <w:szCs w:val="4"/>
                <w:color w:val="auto"/>
                <w:w w:val="99"/>
                <w:vertAlign w:val="subscript"/>
              </w:rPr>
              <w:t>7</w:t>
            </w:r>
            <w:r>
              <w:rPr>
                <w:rFonts w:ascii="Courier New" w:cs="Courier New" w:eastAsia="Courier New" w:hAnsi="Courier New"/>
                <w:sz w:val="2"/>
                <w:szCs w:val="2"/>
                <w:color w:val="auto"/>
                <w:w w:val="99"/>
              </w:rPr>
              <w:t>-----------------------------------------------------------</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2"/>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6,454,259</w:t>
            </w:r>
          </w:p>
        </w:tc>
        <w:tc>
          <w:tcPr>
            <w:tcW w:w="0" w:type="dxa"/>
            <w:vAlign w:val="bottom"/>
          </w:tcPr>
          <w:p>
            <w:pPr>
              <w:spacing w:after="0"/>
              <w:rPr>
                <w:sz w:val="1"/>
                <w:szCs w:val="1"/>
                <w:color w:val="auto"/>
              </w:rPr>
            </w:pPr>
          </w:p>
        </w:tc>
      </w:tr>
      <w:tr>
        <w:trPr>
          <w:trHeight w:val="202"/>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64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ectPr>
          <w:pgSz w:w="11900" w:h="16838" w:orient="portrait"/>
          <w:cols w:equalWidth="0" w:num="1">
            <w:col w:w="10139"/>
          </w:cols>
          <w:pgMar w:left="320" w:top="218" w:right="1440" w:bottom="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627"/>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6,454,259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110" w:right="1440" w:bottom="144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P10, Inc. Class A</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4514 Cole Avenue, Suite 1600</w:t>
      </w:r>
    </w:p>
    <w:p>
      <w:pPr>
        <w:ind w:left="1420"/>
        <w:spacing w:after="0"/>
        <w:rPr>
          <w:sz w:val="20"/>
          <w:szCs w:val="20"/>
          <w:color w:val="auto"/>
        </w:rPr>
      </w:pPr>
      <w:r>
        <w:rPr>
          <w:rFonts w:ascii="Courier New" w:cs="Courier New" w:eastAsia="Courier New" w:hAnsi="Courier New"/>
          <w:sz w:val="18"/>
          <w:szCs w:val="18"/>
          <w:color w:val="auto"/>
        </w:rPr>
        <w:t>Dallas, TX 75205</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2(a) Name of Person Filing:</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River Road Asset Management, LLC</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52"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462 S. 4th St., Ste 2000</w:t>
      </w:r>
    </w:p>
    <w:p>
      <w:pPr>
        <w:ind w:left="1420"/>
        <w:spacing w:after="0"/>
        <w:rPr>
          <w:sz w:val="20"/>
          <w:szCs w:val="20"/>
          <w:color w:val="auto"/>
        </w:rPr>
      </w:pPr>
      <w:r>
        <w:rPr>
          <w:rFonts w:ascii="Courier New" w:cs="Courier New" w:eastAsia="Courier New" w:hAnsi="Courier New"/>
          <w:sz w:val="18"/>
          <w:szCs w:val="18"/>
          <w:color w:val="auto"/>
        </w:rPr>
        <w:t>Louisville, KY 40202</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2(c) Citizenship:</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US -- State of Delaware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69376K106</w:t>
      </w:r>
    </w:p>
    <w:p>
      <w:pPr>
        <w:spacing w:after="0" w:line="169" w:lineRule="exact"/>
        <w:rPr>
          <w:sz w:val="20"/>
          <w:szCs w:val="20"/>
          <w:color w:val="auto"/>
        </w:rPr>
      </w:pPr>
    </w:p>
    <w:p>
      <w:pPr>
        <w:ind w:left="1100" w:right="2239" w:hanging="736"/>
        <w:spacing w:after="0" w:line="292" w:lineRule="auto"/>
        <w:rPr>
          <w:sz w:val="20"/>
          <w:szCs w:val="20"/>
          <w:color w:val="auto"/>
        </w:rPr>
      </w:pPr>
      <w:r>
        <w:rPr>
          <w:rFonts w:ascii="Courier New" w:cs="Courier New" w:eastAsia="Courier New" w:hAnsi="Courier New"/>
          <w:sz w:val="18"/>
          <w:szCs w:val="18"/>
          <w:color w:val="auto"/>
        </w:rPr>
        <w:t>Item 3 If the Statement is being filed pursuant to Rule 13d-1(b), or 13d-2(b), check whether the person filing is a:</w:t>
      </w:r>
    </w:p>
    <w:p>
      <w:pPr>
        <w:spacing w:after="0" w:line="66" w:lineRule="exact"/>
        <w:rPr>
          <w:sz w:val="20"/>
          <w:szCs w:val="20"/>
          <w:color w:val="auto"/>
        </w:rPr>
      </w:pPr>
    </w:p>
    <w:p>
      <w:pPr>
        <w:ind w:left="2360" w:right="2019" w:hanging="945"/>
        <w:spacing w:after="0" w:line="346" w:lineRule="auto"/>
        <w:tabs>
          <w:tab w:leader="none" w:pos="23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 w:lineRule="exact"/>
        <w:rPr>
          <w:sz w:val="20"/>
          <w:szCs w:val="20"/>
          <w:color w:val="auto"/>
        </w:rPr>
      </w:pPr>
    </w:p>
    <w:p>
      <w:pPr>
        <w:ind w:left="360"/>
        <w:spacing w:after="0"/>
        <w:tabs>
          <w:tab w:leader="none" w:pos="14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940" w:right="4339" w:hanging="420"/>
        <w:spacing w:after="0" w:line="309" w:lineRule="auto"/>
        <w:tabs>
          <w:tab w:leader="none" w:pos="19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6,454,259</w:t>
      </w:r>
    </w:p>
    <w:p>
      <w:pPr>
        <w:spacing w:after="0" w:line="50" w:lineRule="exact"/>
        <w:rPr>
          <w:rFonts w:ascii="Courier New" w:cs="Courier New" w:eastAsia="Courier New" w:hAnsi="Courier New"/>
          <w:sz w:val="18"/>
          <w:szCs w:val="18"/>
          <w:color w:val="auto"/>
        </w:rPr>
      </w:pPr>
    </w:p>
    <w:p>
      <w:pPr>
        <w:ind w:left="1840" w:hanging="425"/>
        <w:spacing w:after="0"/>
        <w:tabs>
          <w:tab w:leader="none" w:pos="1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1940"/>
        <w:spacing w:after="0"/>
        <w:rPr>
          <w:sz w:val="20"/>
          <w:szCs w:val="20"/>
          <w:color w:val="auto"/>
        </w:rPr>
      </w:pPr>
      <w:r>
        <w:rPr>
          <w:rFonts w:ascii="Courier New" w:cs="Courier New" w:eastAsia="Courier New" w:hAnsi="Courier New"/>
          <w:sz w:val="18"/>
          <w:szCs w:val="18"/>
          <w:color w:val="auto"/>
        </w:rPr>
        <w:t>11.2%</w:t>
      </w:r>
    </w:p>
    <w:p>
      <w:pPr>
        <w:spacing w:after="0" w:line="169" w:lineRule="exact"/>
        <w:rPr>
          <w:sz w:val="20"/>
          <w:szCs w:val="20"/>
          <w:color w:val="auto"/>
        </w:rPr>
      </w:pPr>
    </w:p>
    <w:p>
      <w:pPr>
        <w:ind w:left="22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690" w:right="1440" w:bottom="1440" w:gutter="0" w:footer="0" w:header="0"/>
        </w:sectPr>
      </w:pPr>
    </w:p>
    <w:bookmarkStart w:id="3" w:name="page4"/>
    <w:bookmarkEnd w:id="3"/>
    <w:p>
      <w:pPr>
        <w:ind w:left="3060" w:hanging="525"/>
        <w:spacing w:after="0"/>
        <w:tabs>
          <w:tab w:leader="none" w:pos="3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3060" w:hanging="525"/>
        <w:spacing w:after="0"/>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r>
        <w:rPr>
          <w:rFonts w:ascii="Courier New" w:cs="Courier New" w:eastAsia="Courier New" w:hAnsi="Courier New"/>
          <w:sz w:val="16"/>
          <w:szCs w:val="16"/>
          <w:color w:val="auto"/>
        </w:rPr>
        <w:t>6,191,891</w:t>
      </w:r>
    </w:p>
    <w:p>
      <w:pPr>
        <w:spacing w:after="0" w:line="201" w:lineRule="exact"/>
        <w:rPr>
          <w:sz w:val="20"/>
          <w:szCs w:val="20"/>
          <w:color w:val="auto"/>
        </w:rPr>
      </w:pPr>
    </w:p>
    <w:tbl>
      <w:tblPr>
        <w:tblLayout w:type="fixed"/>
        <w:tblInd w:w="2420" w:type="dxa"/>
        <w:tblCellMar>
          <w:top w:w="0" w:type="dxa"/>
          <w:left w:w="0" w:type="dxa"/>
          <w:bottom w:w="0" w:type="dxa"/>
          <w:right w:w="0" w:type="dxa"/>
        </w:tblCellMar>
      </w:tblPr>
      <w:tr>
        <w:trPr>
          <w:trHeight w:val="296"/>
        </w:trPr>
        <w:tc>
          <w:tcPr>
            <w:tcW w:w="5280" w:type="dxa"/>
            <w:vAlign w:val="bottom"/>
          </w:tcPr>
          <w:p>
            <w:pPr>
              <w:spacing w:after="0"/>
              <w:rPr>
                <w:sz w:val="20"/>
                <w:szCs w:val="20"/>
                <w:color w:val="auto"/>
              </w:rPr>
            </w:pPr>
            <w:r>
              <w:rPr>
                <w:rFonts w:ascii="Courier New" w:cs="Courier New" w:eastAsia="Courier New" w:hAnsi="Courier New"/>
                <w:sz w:val="18"/>
                <w:szCs w:val="18"/>
                <w:color w:val="auto"/>
              </w:rPr>
              <w:t>(ii)  shared power to vote or 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060" w:hanging="735"/>
        <w:spacing w:after="0"/>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300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6,454,259</w:t>
            </w:r>
          </w:p>
        </w:tc>
      </w:tr>
    </w:tbl>
    <w:p>
      <w:pPr>
        <w:spacing w:after="0" w:line="77" w:lineRule="exact"/>
        <w:rPr>
          <w:sz w:val="20"/>
          <w:szCs w:val="20"/>
          <w:color w:val="auto"/>
        </w:rPr>
      </w:pPr>
    </w:p>
    <w:p>
      <w:pPr>
        <w:ind w:left="3060" w:hanging="630"/>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31" w:lineRule="exact"/>
        <w:rPr>
          <w:sz w:val="20"/>
          <w:szCs w:val="20"/>
          <w:color w:val="auto"/>
        </w:rPr>
      </w:pPr>
    </w:p>
    <w:tbl>
      <w:tblPr>
        <w:tblLayout w:type="fixed"/>
        <w:tblInd w:w="3060" w:type="dxa"/>
        <w:tblCellMar>
          <w:top w:w="0" w:type="dxa"/>
          <w:left w:w="0" w:type="dxa"/>
          <w:bottom w:w="0" w:type="dxa"/>
          <w:right w:w="0" w:type="dxa"/>
        </w:tblCellMar>
      </w:tblP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2540" w:right="1919" w:hanging="1052"/>
        <w:spacing w:after="0" w:line="306" w:lineRule="auto"/>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60"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Another Person:</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540" w:right="2119" w:hanging="1052"/>
        <w:spacing w:after="0" w:line="292" w:lineRule="auto"/>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Group:</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2540" w:right="1699"/>
        <w:spacing w:after="0" w:line="28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147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 2024</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River Road Asset Management, LLC</w:t>
      </w:r>
    </w:p>
    <w:p>
      <w:pPr>
        <w:spacing w:after="0" w:line="201" w:lineRule="exact"/>
        <w:rPr>
          <w:sz w:val="20"/>
          <w:szCs w:val="20"/>
          <w:color w:val="auto"/>
        </w:rPr>
      </w:pPr>
    </w:p>
    <w:p>
      <w:pPr>
        <w:ind w:left="40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DIGNAN MUELLER</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Thomas Dignan Mueller</w:t>
      </w:r>
    </w:p>
    <w:p>
      <w:pPr>
        <w:ind w:left="4640"/>
        <w:spacing w:after="0"/>
        <w:rPr>
          <w:sz w:val="20"/>
          <w:szCs w:val="20"/>
          <w:color w:val="auto"/>
        </w:rPr>
      </w:pPr>
      <w:r>
        <w:rPr>
          <w:rFonts w:ascii="Courier New" w:cs="Courier New" w:eastAsia="Courier New" w:hAnsi="Courier New"/>
          <w:sz w:val="18"/>
          <w:szCs w:val="18"/>
          <w:color w:val="auto"/>
        </w:rPr>
        <w:t>Title: CCO/COO</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2"/>
    </w:lvl>
    <w:lvl w:ilvl="1">
      <w:lvlJc w:val="left"/>
      <w:lvlText w:val="%2"/>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2024-05-02T12:13:49Z</dcterms:created>
  <dcterms:modified xsi:type="dcterms:W3CDTF">2024-05-02T12:13:49Z</dcterms:modified>
</cp:coreProperties>
</file>