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87-2908160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04"/>
        <w:spacing w:after="0"/>
        <w:rPr>
          <w:sz w:val="20"/>
          <w:szCs w:val="20"/>
          <w:color w:val="auto"/>
        </w:rPr>
      </w:pPr>
      <w:r>
        <w:rPr>
          <w:rFonts w:ascii="Arial" w:cs="Arial" w:eastAsia="Arial" w:hAnsi="Arial"/>
          <w:sz w:val="15"/>
          <w:szCs w:val="15"/>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75205</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(214) 865-7998</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par value $0.001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On February 9, 2022, P10, Inc. (the “Company”) issued a press release announcing it will release its fourth quarter and full year results on Tuesday, March 1, 2022, before U.S. markets open. The Company will also host a conference call at 8:30 a.m. Eastern Time on Tuesday, March 1, 2022. The Company’s press release is attached hereto as Exhibit 99.1 and the information set forth therein is incorporated herein by reference and constitutes a part of this report.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information furnished by the Company pursuant to this Item 8.01, including Exhibit 99.1, shall not be deemed “filed” for purposes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18 of the Securities Exchange Act of 1934, as amended (the “Exchange Act”) or otherwise subject to the liability of that section, and shall not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deemed to be incorporated by reference into any Company filing under the Securities Act of 1933, as amended, or the Exchange Act, regardless of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general incorporation language in such filing.</w:t>
      </w:r>
    </w:p>
    <w:p>
      <w:pPr>
        <w:spacing w:after="0" w:line="35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680" w:type="dxa"/>
            <w:vAlign w:val="bottom"/>
          </w:tcPr>
          <w:p>
            <w:pPr>
              <w:spacing w:after="0"/>
              <w:rPr>
                <w:sz w:val="14"/>
                <w:szCs w:val="14"/>
                <w:color w:val="auto"/>
              </w:rPr>
            </w:pPr>
          </w:p>
        </w:tc>
        <w:tc>
          <w:tcPr>
            <w:tcW w:w="438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2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February 9, 2022</w:t>
              </w:r>
            </w:hyperlink>
          </w:p>
        </w:tc>
        <w:tc>
          <w:tcPr>
            <w:tcW w:w="1640" w:type="dxa"/>
            <w:vAlign w:val="bottom"/>
          </w:tcPr>
          <w:p>
            <w:pPr>
              <w:spacing w:after="0"/>
              <w:rPr>
                <w:sz w:val="24"/>
                <w:szCs w:val="24"/>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(formatted as inline XBRL)</w:t>
            </w:r>
          </w:p>
        </w:tc>
      </w:tr>
    </w:tbl>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spacing w:after="0"/>
        <w:tabs>
          <w:tab w:leader="none" w:pos="5920" w:val="left"/>
          <w:tab w:leader="none" w:pos="6360" w:val="left"/>
        </w:tabs>
        <w:rPr>
          <w:sz w:val="20"/>
          <w:szCs w:val="20"/>
          <w:color w:val="auto"/>
        </w:rPr>
      </w:pPr>
      <w:r>
        <w:rPr>
          <w:rFonts w:ascii="Arial" w:cs="Arial" w:eastAsia="Arial" w:hAnsi="Arial"/>
          <w:sz w:val="18"/>
          <w:szCs w:val="18"/>
          <w:color w:val="auto"/>
        </w:rPr>
        <w:t>Dated: February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14605</wp:posOffset>
            </wp:positionV>
            <wp:extent cx="2940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Amanda Coussens</w:t>
      </w:r>
    </w:p>
    <w:p>
      <w:pPr>
        <w:spacing w:after="0" w:line="9" w:lineRule="exact"/>
        <w:rPr>
          <w:sz w:val="20"/>
          <w:szCs w:val="20"/>
          <w:color w:val="auto"/>
        </w:rPr>
      </w:pPr>
    </w:p>
    <w:p>
      <w:pPr>
        <w:ind w:left="6380"/>
        <w:spacing w:after="0"/>
        <w:tabs>
          <w:tab w:leader="none" w:pos="69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411480</wp:posOffset>
            </wp:positionV>
            <wp:extent cx="100266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26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Schedules Fourth Quarter and Full Year 2021 Earnings Release on Tuesday, March 1, 2022</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Dallas, Texas – February 9, 2022 </w:t>
      </w:r>
      <w:r>
        <w:rPr>
          <w:rFonts w:ascii="Arial" w:cs="Arial" w:eastAsia="Arial" w:hAnsi="Arial"/>
          <w:sz w:val="18"/>
          <w:szCs w:val="18"/>
          <w:color w:val="auto"/>
        </w:rPr>
        <w:t>– P10, Inc. (NYSE: PX), a leading private markets solutions provider, today announced it will release its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full year 2021 results on Tuesday, March 1, 2022, before U.S. markets open.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also host a conference call at 8:30 a.m. Eastern Time on Tuesday, March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call will be webcast live and may be accessed 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participants joining by telephone should dial one of the following numbers, followed by the Participant Access Code provided:</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US/Canada (toll free):</w:t>
            </w:r>
          </w:p>
        </w:tc>
        <w:tc>
          <w:tcPr>
            <w:tcW w:w="1600" w:type="dxa"/>
            <w:vAlign w:val="bottom"/>
          </w:tcPr>
          <w:p>
            <w:pPr>
              <w:ind w:left="320"/>
              <w:spacing w:after="0"/>
              <w:rPr>
                <w:sz w:val="20"/>
                <w:szCs w:val="20"/>
                <w:color w:val="auto"/>
              </w:rPr>
            </w:pPr>
            <w:r>
              <w:rPr>
                <w:rFonts w:ascii="Arial" w:cs="Arial" w:eastAsia="Arial" w:hAnsi="Arial"/>
                <w:sz w:val="18"/>
                <w:szCs w:val="18"/>
                <w:color w:val="auto"/>
                <w:w w:val="98"/>
              </w:rPr>
              <w:t>1-844-200-6205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US (local):</w:t>
            </w:r>
          </w:p>
        </w:tc>
        <w:tc>
          <w:tcPr>
            <w:tcW w:w="1600" w:type="dxa"/>
            <w:vAlign w:val="bottom"/>
          </w:tcPr>
          <w:p>
            <w:pPr>
              <w:ind w:left="320"/>
              <w:spacing w:after="0"/>
              <w:rPr>
                <w:sz w:val="20"/>
                <w:szCs w:val="20"/>
                <w:color w:val="auto"/>
              </w:rPr>
            </w:pPr>
            <w:r>
              <w:rPr>
                <w:rFonts w:ascii="Arial" w:cs="Arial" w:eastAsia="Arial" w:hAnsi="Arial"/>
                <w:sz w:val="18"/>
                <w:szCs w:val="18"/>
                <w:color w:val="auto"/>
                <w:w w:val="98"/>
              </w:rPr>
              <w:t>1-646-904-5544</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Canada (local):</w:t>
            </w:r>
          </w:p>
        </w:tc>
        <w:tc>
          <w:tcPr>
            <w:tcW w:w="1600" w:type="dxa"/>
            <w:vAlign w:val="bottom"/>
          </w:tcPr>
          <w:p>
            <w:pPr>
              <w:ind w:left="320"/>
              <w:spacing w:after="0"/>
              <w:rPr>
                <w:sz w:val="20"/>
                <w:szCs w:val="20"/>
                <w:color w:val="auto"/>
              </w:rPr>
            </w:pPr>
            <w:r>
              <w:rPr>
                <w:rFonts w:ascii="Arial" w:cs="Arial" w:eastAsia="Arial" w:hAnsi="Arial"/>
                <w:sz w:val="18"/>
                <w:szCs w:val="18"/>
                <w:color w:val="auto"/>
                <w:w w:val="98"/>
              </w:rPr>
              <w:t>1-226-828-7575</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All other locations:</w:t>
            </w:r>
          </w:p>
        </w:tc>
        <w:tc>
          <w:tcPr>
            <w:tcW w:w="1600" w:type="dxa"/>
            <w:vAlign w:val="bottom"/>
          </w:tcPr>
          <w:p>
            <w:pPr>
              <w:ind w:left="320"/>
              <w:spacing w:after="0"/>
              <w:rPr>
                <w:sz w:val="20"/>
                <w:szCs w:val="20"/>
                <w:color w:val="auto"/>
              </w:rPr>
            </w:pPr>
            <w:r>
              <w:rPr>
                <w:rFonts w:ascii="Arial" w:cs="Arial" w:eastAsia="Arial" w:hAnsi="Arial"/>
                <w:sz w:val="18"/>
                <w:szCs w:val="18"/>
                <w:color w:val="auto"/>
                <w:w w:val="90"/>
              </w:rPr>
              <w:t>+1-929-526-1599</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rPr>
              <w:t>Participant Access Code:</w:t>
            </w:r>
          </w:p>
        </w:tc>
        <w:tc>
          <w:tcPr>
            <w:tcW w:w="1600" w:type="dxa"/>
            <w:vAlign w:val="bottom"/>
          </w:tcPr>
          <w:p>
            <w:pPr>
              <w:ind w:left="320"/>
              <w:spacing w:after="0"/>
              <w:rPr>
                <w:sz w:val="20"/>
                <w:szCs w:val="20"/>
                <w:color w:val="auto"/>
              </w:rPr>
            </w:pPr>
            <w:r>
              <w:rPr>
                <w:rFonts w:ascii="Arial" w:cs="Arial" w:eastAsia="Arial" w:hAnsi="Arial"/>
                <w:sz w:val="18"/>
                <w:szCs w:val="18"/>
                <w:color w:val="auto"/>
              </w:rPr>
              <w:t>181724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those unable to participate in the live call, a replay will be made available on P10’s investor relations page at www.p10alts.com.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P10</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2021, P10 has a global investor base of over 2,400 investors across 46 states, 29 countries and six continents, which includes some of the world’s largest pension funds, endowments, foundations, corporate pensions and financial institutions. Visit www.p10alts.com.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Limitations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info@p10alts.com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2022-02-11T23:06:07Z</dcterms:created>
  <dcterms:modified xsi:type="dcterms:W3CDTF">2022-02-11T23:06:07Z</dcterms:modified>
</cp:coreProperties>
</file>