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190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TrueBridge Ascent LLC</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18595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179627.00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53122612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11/28/2023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 Stock 10/02/2020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18595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10/02/2020 Cash</w:t>
      </w:r>
    </w:p>
    <w:p>
      <w:pPr>
        <w:spacing w:after="0" w:line="211" w:lineRule="exact"/>
        <w:rPr>
          <w:sz w:val="20"/>
          <w:szCs w:val="20"/>
          <w:color w:val="auto"/>
        </w:rPr>
      </w:pPr>
    </w:p>
    <w:p>
      <w:pPr>
        <w:sectPr>
          <w:pgSz w:w="11900" w:h="16838" w:orient="portrait"/>
          <w:cols w:equalWidth="0" w:num="3">
            <w:col w:w="650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11/28/2023</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Dominic Hong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2023-11-29T14:53:56Z</dcterms:created>
  <dcterms:modified xsi:type="dcterms:W3CDTF">2023-11-29T14:53:56Z</dcterms:modified>
</cp:coreProperties>
</file>