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535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5359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Jensen Richard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0000FF"/>
        </w:rPr>
        <w:t>EVP, Head of Strategy and M&amp;A</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9"/>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17,953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left="10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12.61</w:t>
            </w: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02/14/2025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center"/>
              <w:ind w:left="21"/>
              <w:spacing w:after="0" w:line="142" w:lineRule="exact"/>
              <w:rPr>
                <w:sz w:val="20"/>
                <w:szCs w:val="20"/>
                <w:color w:val="auto"/>
              </w:rPr>
            </w:pPr>
            <w:r>
              <w:rPr>
                <w:rFonts w:ascii="Times New Roman" w:cs="Times New Roman" w:eastAsia="Times New Roman" w:hAnsi="Times New Roman"/>
                <w:sz w:val="13"/>
                <w:szCs w:val="13"/>
                <w:color w:val="0000FF"/>
                <w:w w:val="94"/>
              </w:rPr>
              <w:t>17,953</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02/14/2035</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17,953</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color w:val="008000"/>
                <w:w w:val="93"/>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jc w:val="center"/>
              <w:ind w:right="123"/>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8"/>
              </w:rPr>
              <w:t>47,582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02/14/2025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center"/>
              <w:ind w:left="21"/>
              <w:spacing w:after="0" w:line="142" w:lineRule="exact"/>
              <w:rPr>
                <w:sz w:val="20"/>
                <w:szCs w:val="20"/>
                <w:color w:val="auto"/>
              </w:rPr>
            </w:pPr>
            <w:r>
              <w:rPr>
                <w:rFonts w:ascii="Times New Roman" w:cs="Times New Roman" w:eastAsia="Times New Roman" w:hAnsi="Times New Roman"/>
                <w:sz w:val="13"/>
                <w:szCs w:val="13"/>
                <w:color w:val="0000FF"/>
                <w:w w:val="94"/>
              </w:rPr>
              <w:t>47,582</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47,582</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color w:val="008000"/>
                <w:w w:val="93"/>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40" w:type="dxa"/>
            <w:vAlign w:val="bottom"/>
            <w:vMerge w:val="restart"/>
          </w:tcPr>
          <w:p>
            <w:pPr>
              <w:jc w:val="center"/>
              <w:ind w:right="123"/>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0000FF"/>
                <w:w w:val="99"/>
              </w:rPr>
              <w:t>9,120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02/14/2025</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center"/>
              <w:ind w:left="21"/>
              <w:spacing w:after="0" w:line="142" w:lineRule="exact"/>
              <w:rPr>
                <w:sz w:val="20"/>
                <w:szCs w:val="20"/>
                <w:color w:val="auto"/>
              </w:rPr>
            </w:pPr>
            <w:r>
              <w:rPr>
                <w:rFonts w:ascii="Times New Roman" w:cs="Times New Roman" w:eastAsia="Times New Roman" w:hAnsi="Times New Roman"/>
                <w:sz w:val="13"/>
                <w:szCs w:val="13"/>
                <w:color w:val="0000FF"/>
              </w:rPr>
              <w:t>9,120</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rPr>
              <w:t>9,120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-2894330</wp:posOffset>
            </wp:positionV>
            <wp:extent cx="29210" cy="2899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994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17,953 stock options, which will vest ratably on the second, third, fourth and fifth anniversaries of the grant date, provided that the reporting person remains in continuous service with the Issuer through each such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47,582 RSUs, all of which will vest on the first anniversary of the grant date, provided that the reporting person remains in continuous service with the Issuer through such date.</w:t>
      </w:r>
    </w:p>
    <w:p>
      <w:pPr>
        <w:spacing w:after="0" w:line="17"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14, 2025, the reporting person was granted a total of 9,120 RSUs, all of which will vest on the first anniversary of the grant date, provided that the reporting person remains in continuous service with the Issuer through such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42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Richard J.  02/19/2025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Jensen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83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384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28252"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2025-02-19T17:43:45Z</dcterms:created>
  <dcterms:modified xsi:type="dcterms:W3CDTF">2025-02-19T17:43:45Z</dcterms:modified>
</cp:coreProperties>
</file>