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08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083810"/>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Poston Edwin A.</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01/30/2025</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191"/>
        <w:spacing w:after="0"/>
        <w:rPr>
          <w:sz w:val="20"/>
          <w:szCs w:val="20"/>
          <w:color w:val="auto"/>
        </w:rPr>
      </w:pPr>
      <w:r>
        <w:rPr>
          <w:rFonts w:ascii="Times New Roman" w:cs="Times New Roman" w:eastAsia="Times New Roman" w:hAnsi="Times New Roman"/>
          <w:sz w:val="16"/>
          <w:szCs w:val="16"/>
          <w:color w:val="0000FF"/>
        </w:rPr>
        <w:t>See remarks</w:t>
      </w:r>
    </w:p>
    <w:p>
      <w:pPr>
        <w:spacing w:after="0" w:line="491"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560" w:type="dxa"/>
            <w:vAlign w:val="bottom"/>
            <w:gridSpan w:val="7"/>
            <w:vMerge w:val="restart"/>
          </w:tcPr>
          <w:p>
            <w:pPr>
              <w:jc w:val="center"/>
              <w:ind w:right="36"/>
              <w:spacing w:after="0"/>
              <w:rPr>
                <w:sz w:val="20"/>
                <w:szCs w:val="20"/>
                <w:color w:val="auto"/>
              </w:rPr>
            </w:pPr>
            <w:r>
              <w:rPr>
                <w:rFonts w:ascii="Arial" w:cs="Arial" w:eastAsia="Arial" w:hAnsi="Arial"/>
                <w:sz w:val="13"/>
                <w:szCs w:val="13"/>
                <w:color w:val="auto"/>
                <w:w w:val="96"/>
              </w:rPr>
              <w:t>4. If Amendment, Date of Original Filed (Month/Day/Year)</w:t>
            </w:r>
          </w:p>
        </w:tc>
        <w:tc>
          <w:tcPr>
            <w:tcW w:w="3760" w:type="dxa"/>
            <w:vAlign w:val="bottom"/>
            <w:gridSpan w:val="9"/>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6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0"/>
              <w:spacing w:after="0" w:line="138" w:lineRule="exact"/>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30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4"/>
            <w:vMerge w:val="restart"/>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0000FF"/>
              </w:rPr>
              <w:t>01/30/2025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w w:val="91"/>
              </w:rPr>
              <w:t>C</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w w:val="99"/>
              </w:rPr>
              <w:t>1,304,161</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(1)(2)</w:t>
            </w:r>
          </w:p>
        </w:tc>
        <w:tc>
          <w:tcPr>
            <w:tcW w:w="15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2,173,602</w:t>
            </w:r>
          </w:p>
        </w:tc>
        <w:tc>
          <w:tcPr>
            <w:tcW w:w="600" w:type="dxa"/>
            <w:vAlign w:val="bottom"/>
          </w:tcPr>
          <w:p>
            <w:pPr>
              <w:ind w:left="20"/>
              <w:spacing w:after="0" w:line="200"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(3)</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Colonial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Fund, u/a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11/15/2015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center"/>
              <w:ind w:right="14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0"/>
          </w:tcPr>
          <w:p>
            <w:pPr>
              <w:jc w:val="center"/>
              <w:ind w:left="515"/>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3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99"/>
              </w:rPr>
              <w:t>1,304,161</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720" w:type="dxa"/>
            <w:vAlign w:val="bottom"/>
          </w:tcPr>
          <w:p>
            <w:pPr>
              <w:spacing w:after="0"/>
              <w:rPr>
                <w:sz w:val="11"/>
                <w:szCs w:val="11"/>
                <w:color w:val="auto"/>
              </w:rPr>
            </w:pPr>
          </w:p>
        </w:tc>
        <w:tc>
          <w:tcPr>
            <w:tcW w:w="600" w:type="dxa"/>
            <w:vAlign w:val="bottom"/>
            <w:vMerge w:val="restart"/>
          </w:tcPr>
          <w:p>
            <w:pPr>
              <w:ind w:left="400"/>
              <w:spacing w:after="0" w:line="275"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260" w:type="dxa"/>
            <w:vAlign w:val="bottom"/>
          </w:tcPr>
          <w:p>
            <w:pPr>
              <w:spacing w:after="0"/>
              <w:rPr>
                <w:sz w:val="11"/>
                <w:szCs w:val="11"/>
                <w:color w:val="auto"/>
              </w:rPr>
            </w:pPr>
          </w:p>
        </w:tc>
        <w:tc>
          <w:tcPr>
            <w:tcW w:w="700" w:type="dxa"/>
            <w:vAlign w:val="bottom"/>
            <w:tcBorders>
              <w:right w:val="single" w:sz="8" w:color="2C2C2C"/>
            </w:tcBorders>
            <w:gridSpan w:val="3"/>
          </w:tcPr>
          <w:p>
            <w:pPr>
              <w:ind w:left="40"/>
              <w:spacing w:after="0" w:line="138"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01/30/2025</w:t>
            </w:r>
          </w:p>
        </w:tc>
        <w:tc>
          <w:tcPr>
            <w:tcW w:w="1060" w:type="dxa"/>
            <w:vAlign w:val="bottom"/>
          </w:tcPr>
          <w:p>
            <w:pPr>
              <w:spacing w:after="0"/>
              <w:rPr>
                <w:sz w:val="11"/>
                <w:szCs w:val="11"/>
                <w:color w:val="auto"/>
              </w:rPr>
            </w:pPr>
          </w:p>
        </w:tc>
        <w:tc>
          <w:tcPr>
            <w:tcW w:w="74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1,304,161</w:t>
            </w:r>
          </w:p>
        </w:tc>
        <w:tc>
          <w:tcPr>
            <w:tcW w:w="7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6,520,807</w:t>
            </w: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right w:val="single" w:sz="8" w:color="2C2C2C"/>
            </w:tcBorders>
            <w:gridSpan w:val="3"/>
          </w:tcPr>
          <w:p>
            <w:pPr>
              <w:ind w:left="40"/>
              <w:spacing w:after="0" w:line="138" w:lineRule="exact"/>
              <w:rPr>
                <w:sz w:val="20"/>
                <w:szCs w:val="20"/>
                <w:color w:val="auto"/>
              </w:rPr>
            </w:pPr>
            <w:r>
              <w:rPr>
                <w:rFonts w:ascii="Times New Roman" w:cs="Times New Roman" w:eastAsia="Times New Roman" w:hAnsi="Times New Roman"/>
                <w:sz w:val="13"/>
                <w:szCs w:val="13"/>
                <w:color w:val="0000FF"/>
              </w:rPr>
              <w:t>Colonial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center"/>
              <w:ind w:right="116"/>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right w:val="single" w:sz="8" w:color="2C2C2C"/>
            </w:tcBorders>
            <w:gridSpan w:val="3"/>
          </w:tcPr>
          <w:p>
            <w:pPr>
              <w:ind w:left="40"/>
              <w:spacing w:after="0" w:line="138" w:lineRule="exact"/>
              <w:rPr>
                <w:sz w:val="20"/>
                <w:szCs w:val="20"/>
                <w:color w:val="auto"/>
              </w:rPr>
            </w:pPr>
            <w:r>
              <w:rPr>
                <w:rFonts w:ascii="Times New Roman" w:cs="Times New Roman" w:eastAsia="Times New Roman" w:hAnsi="Times New Roman"/>
                <w:sz w:val="13"/>
                <w:szCs w:val="13"/>
                <w:color w:val="0000FF"/>
              </w:rPr>
              <w:t>Fund, u/a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11/15/2015</w:t>
            </w: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-1806575</wp:posOffset>
            </wp:positionV>
            <wp:extent cx="28575" cy="1812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122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5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2" w:lineRule="exact"/>
        <w:rPr>
          <w:rFonts w:ascii="Times New Roman" w:cs="Times New Roman" w:eastAsia="Times New Roman" w:hAnsi="Times New Roman"/>
          <w:sz w:val="13"/>
          <w:szCs w:val="13"/>
          <w:color w:val="008000"/>
        </w:rPr>
      </w:pPr>
    </w:p>
    <w:p>
      <w:pPr>
        <w:jc w:val="both"/>
        <w:ind w:left="40" w:right="1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January 30, 2025, TrueBridge Colonial Fund, u/a 11/15/2015 ("TrueBridge Colonial Fund") converted 1,304,161 shares of Class B Common Stock into an equivalent number of shares of Class A Common Stock.</w:t>
      </w:r>
    </w:p>
    <w:p>
      <w:pPr>
        <w:spacing w:after="0" w:line="24" w:lineRule="exact"/>
        <w:rPr>
          <w:rFonts w:ascii="Times New Roman" w:cs="Times New Roman" w:eastAsia="Times New Roman" w:hAnsi="Times New Roman"/>
          <w:sz w:val="13"/>
          <w:szCs w:val="13"/>
          <w:color w:val="008000"/>
        </w:rPr>
      </w:pPr>
    </w:p>
    <w:p>
      <w:pPr>
        <w:ind w:left="40" w:right="3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TrueBridge Colonial Fund. First Republic Trust Company of Delaware, as trustee of the TrueBridge Colonial Fund, may be deemed to beneficially own the securities of the Issuer owned directly by TrueBridge Colonial Fund.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right="480"/>
        <w:spacing w:after="0" w:line="234" w:lineRule="auto"/>
        <w:rPr>
          <w:sz w:val="20"/>
          <w:szCs w:val="20"/>
          <w:color w:val="auto"/>
        </w:rPr>
      </w:pPr>
      <w:r>
        <w:rPr>
          <w:rFonts w:ascii="Times New Roman" w:cs="Times New Roman" w:eastAsia="Times New Roman" w:hAnsi="Times New Roman"/>
          <w:sz w:val="13"/>
          <w:szCs w:val="13"/>
          <w:color w:val="008000"/>
        </w:rPr>
        <w:t>Member of 10% Owner Group. 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4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Dominic Hong, as Attorney-</w:t>
            </w:r>
          </w:p>
        </w:tc>
        <w:tc>
          <w:tcPr>
            <w:tcW w:w="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01/31/2025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100" w:type="dxa"/>
            <w:vAlign w:val="bottom"/>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in-Fact for the Reporting Person</w:t>
            </w:r>
          </w:p>
        </w:tc>
        <w:tc>
          <w:tcPr>
            <w:tcW w:w="40" w:type="dxa"/>
            <w:vAlign w:val="bottom"/>
            <w:vMerge w:val="restart"/>
          </w:tcPr>
          <w:p>
            <w:pPr>
              <w:spacing w:after="0"/>
              <w:rPr>
                <w:sz w:val="6"/>
                <w:szCs w:val="6"/>
                <w:color w:val="auto"/>
              </w:rPr>
            </w:pPr>
          </w:p>
        </w:tc>
        <w:tc>
          <w:tcPr>
            <w:tcW w:w="60" w:type="dxa"/>
            <w:vAlign w:val="bottom"/>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100" w:type="dxa"/>
            <w:vAlign w:val="bottom"/>
            <w:tcBorders>
              <w:bottom w:val="single" w:sz="8" w:color="auto"/>
            </w:tcBorders>
            <w:gridSpan w:val="2"/>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ind w:right="20" w:firstLine="732"/>
        <w:spacing w:after="0" w:line="245"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Dominic Hong,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57" w:lineRule="exact"/>
        <w:rPr>
          <w:sz w:val="20"/>
          <w:szCs w:val="20"/>
          <w:color w:val="auto"/>
        </w:rPr>
      </w:pPr>
    </w:p>
    <w:p>
      <w:pPr>
        <w:jc w:val="both"/>
        <w:ind w:left="1460" w:hanging="725"/>
        <w:spacing w:after="0" w:line="243"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codes and passwords enabling the undersigned to make electronic filings with the SEC of reports required or considered by the Attorney-in- Fact to be advisable under Section 13 or Section 16 of the Securities Exchange Act of 1934 (the "Exchange Act") or any rule or regulation of the SEC;</w:t>
      </w:r>
    </w:p>
    <w:p>
      <w:pPr>
        <w:spacing w:after="0" w:line="165" w:lineRule="exact"/>
        <w:rPr>
          <w:rFonts w:ascii="Times New Roman" w:cs="Times New Roman" w:eastAsia="Times New Roman" w:hAnsi="Times New Roman"/>
          <w:sz w:val="20"/>
          <w:szCs w:val="20"/>
          <w:color w:val="auto"/>
        </w:rPr>
      </w:pPr>
    </w:p>
    <w:p>
      <w:pPr>
        <w:jc w:val="both"/>
        <w:ind w:left="1460" w:hanging="725"/>
        <w:spacing w:after="0" w:line="241"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P10,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65" w:lineRule="exact"/>
        <w:rPr>
          <w:rFonts w:ascii="Times New Roman" w:cs="Times New Roman" w:eastAsia="Times New Roman" w:hAnsi="Times New Roman"/>
          <w:sz w:val="20"/>
          <w:szCs w:val="20"/>
          <w:color w:val="auto"/>
        </w:rPr>
      </w:pPr>
    </w:p>
    <w:p>
      <w:pPr>
        <w:jc w:val="both"/>
        <w:ind w:left="1460" w:right="20" w:hanging="725"/>
        <w:spacing w:after="0" w:line="245"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195" w:lineRule="exact"/>
        <w:rPr>
          <w:sz w:val="20"/>
          <w:szCs w:val="20"/>
          <w:color w:val="auto"/>
        </w:rPr>
      </w:pPr>
    </w:p>
    <w:p>
      <w:pPr>
        <w:ind w:left="1440" w:right="480" w:hanging="339"/>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 Fact without independent verification of such information;</w:t>
      </w:r>
    </w:p>
    <w:p>
      <w:pPr>
        <w:spacing w:after="0" w:line="165" w:lineRule="exact"/>
        <w:rPr>
          <w:rFonts w:ascii="Times New Roman" w:cs="Times New Roman" w:eastAsia="Times New Roman" w:hAnsi="Times New Roman"/>
          <w:sz w:val="20"/>
          <w:szCs w:val="20"/>
          <w:color w:val="auto"/>
        </w:rPr>
      </w:pPr>
    </w:p>
    <w:p>
      <w:pPr>
        <w:jc w:val="both"/>
        <w:ind w:left="1440" w:right="540" w:hanging="339"/>
        <w:spacing w:after="0" w:line="250"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81" w:lineRule="exact"/>
        <w:rPr>
          <w:rFonts w:ascii="Times New Roman" w:cs="Times New Roman" w:eastAsia="Times New Roman" w:hAnsi="Times New Roman"/>
          <w:sz w:val="20"/>
          <w:szCs w:val="20"/>
          <w:color w:val="auto"/>
        </w:rPr>
      </w:pPr>
    </w:p>
    <w:p>
      <w:pPr>
        <w:jc w:val="both"/>
        <w:ind w:left="1440" w:right="580" w:hanging="339"/>
        <w:spacing w:after="0" w:line="245"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701675</wp:posOffset>
            </wp:positionV>
            <wp:extent cx="699770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41275"/>
                    </a:xfrm>
                    <a:prstGeom prst="rect">
                      <a:avLst/>
                    </a:prstGeom>
                    <a:noFill/>
                  </pic:spPr>
                </pic:pic>
              </a:graphicData>
            </a:graphic>
          </wp:anchor>
        </w:drawing>
      </w:r>
    </w:p>
    <w:p>
      <w:pPr>
        <w:sectPr>
          <w:pgSz w:w="11900" w:h="16838" w:orient="portrait"/>
          <w:cols w:equalWidth="0" w:num="1">
            <w:col w:w="10760"/>
          </w:cols>
          <w:pgMar w:left="560" w:top="1298" w:right="579" w:bottom="1440" w:gutter="0" w:footer="0" w:header="0"/>
        </w:sectPr>
      </w:pPr>
    </w:p>
    <w:bookmarkStart w:id="2" w:name="page3"/>
    <w:bookmarkEnd w:id="2"/>
    <w:p>
      <w:pPr>
        <w:spacing w:after="0" w:line="75" w:lineRule="exact"/>
        <w:rPr>
          <w:sz w:val="20"/>
          <w:szCs w:val="20"/>
          <w:color w:val="auto"/>
        </w:rPr>
      </w:pPr>
    </w:p>
    <w:p>
      <w:pPr>
        <w:ind w:left="1540" w:right="760" w:hanging="339"/>
        <w:spacing w:after="0" w:line="250" w:lineRule="auto"/>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2" w:lineRule="exact"/>
        <w:rPr>
          <w:sz w:val="20"/>
          <w:szCs w:val="20"/>
          <w:color w:val="auto"/>
        </w:rPr>
      </w:pPr>
    </w:p>
    <w:p>
      <w:pPr>
        <w:jc w:val="both"/>
        <w:ind w:left="100" w:right="120" w:firstLine="732"/>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1" w:lineRule="exact"/>
        <w:rPr>
          <w:sz w:val="20"/>
          <w:szCs w:val="20"/>
          <w:color w:val="auto"/>
        </w:rPr>
      </w:pPr>
    </w:p>
    <w:p>
      <w:pPr>
        <w:jc w:val="both"/>
        <w:ind w:left="100" w:right="120" w:firstLine="732"/>
        <w:spacing w:after="0" w:line="245"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1" w:lineRule="exact"/>
        <w:rPr>
          <w:sz w:val="20"/>
          <w:szCs w:val="20"/>
          <w:color w:val="auto"/>
        </w:rPr>
      </w:pPr>
    </w:p>
    <w:p>
      <w:pPr>
        <w:ind w:left="100" w:right="900" w:firstLine="732"/>
        <w:spacing w:after="0" w:line="266"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28th day of January, 2025.</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Edwin A. Poston</w:t>
            </w:r>
          </w:p>
        </w:tc>
        <w:tc>
          <w:tcPr>
            <w:tcW w:w="6920" w:type="dxa"/>
            <w:vAlign w:val="bottom"/>
          </w:tcPr>
          <w:p>
            <w:pPr>
              <w:spacing w:after="0"/>
              <w:rPr>
                <w:sz w:val="21"/>
                <w:szCs w:val="21"/>
                <w:color w:val="auto"/>
              </w:rPr>
            </w:pPr>
          </w:p>
        </w:tc>
      </w:tr>
      <w:tr>
        <w:trPr>
          <w:trHeight w:val="253"/>
        </w:trPr>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Edwin A. Poston</w:t>
            </w:r>
          </w:p>
        </w:tc>
        <w:tc>
          <w:tcPr>
            <w:tcW w:w="6920" w:type="dxa"/>
            <w:vAlign w:val="bottom"/>
          </w:tcPr>
          <w:p>
            <w:pPr>
              <w:spacing w:after="0"/>
              <w:rPr>
                <w:sz w:val="21"/>
                <w:szCs w:val="21"/>
                <w:color w:val="auto"/>
              </w:rPr>
            </w:pPr>
          </w:p>
        </w:tc>
      </w:tr>
      <w:tr>
        <w:trPr>
          <w:trHeight w:val="1308"/>
        </w:trPr>
        <w:tc>
          <w:tcPr>
            <w:tcW w:w="7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-27940</wp:posOffset>
            </wp:positionV>
            <wp:extent cx="3365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2025-01-31T12:09:35Z</dcterms:created>
  <dcterms:modified xsi:type="dcterms:W3CDTF">2025-01-31T12:09:35Z</dcterms:modified>
</cp:coreProperties>
</file>