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8"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15" w:lineRule="exact"/>
        <w:rPr>
          <w:sz w:val="24"/>
          <w:szCs w:val="24"/>
          <w:color w:val="auto"/>
        </w:rPr>
      </w:pPr>
    </w:p>
    <w:p>
      <w:pPr>
        <w:ind w:left="580" w:hanging="572"/>
        <w:spacing w:after="0" w:line="258" w:lineRule="auto"/>
        <w:tabs>
          <w:tab w:leader="none" w:pos="580" w:val="left"/>
        </w:tabs>
        <w:numPr>
          <w:ilvl w:val="0"/>
          <w:numId w:val="1"/>
        </w:numPr>
        <w:rPr>
          <w:rFonts w:ascii="MS PGothic" w:cs="MS PGothic" w:eastAsia="MS PGothic" w:hAnsi="MS PGothic"/>
          <w:sz w:val="24"/>
          <w:szCs w:val="24"/>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16"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b w:val="1"/>
          <w:bCs w:val="1"/>
          <w:color w:val="auto"/>
        </w:rPr>
        <w:t>March 31, 2003</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38" w:lineRule="exact"/>
        <w:rPr>
          <w:sz w:val="24"/>
          <w:szCs w:val="24"/>
          <w:color w:val="auto"/>
        </w:rPr>
      </w:pPr>
    </w:p>
    <w:p>
      <w:pPr>
        <w:ind w:left="540" w:right="20" w:hanging="532"/>
        <w:spacing w:after="0" w:line="279" w:lineRule="auto"/>
        <w:tabs>
          <w:tab w:leader="none" w:pos="540" w:val="left"/>
        </w:tabs>
        <w:numPr>
          <w:ilvl w:val="0"/>
          <w:numId w:val="2"/>
        </w:numPr>
        <w:rPr>
          <w:rFonts w:ascii="MS PGothic" w:cs="MS PGothic" w:eastAsia="MS PGothic" w:hAnsi="MS PGothic"/>
          <w:sz w:val="24"/>
          <w:szCs w:val="24"/>
          <w:color w:val="auto"/>
        </w:rPr>
      </w:pPr>
      <w:r>
        <w:rPr>
          <w:rFonts w:ascii="Arial" w:cs="Arial" w:eastAsia="Arial" w:hAnsi="Arial"/>
          <w:sz w:val="24"/>
          <w:szCs w:val="24"/>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24"/>
        </w:trPr>
        <w:tc>
          <w:tcPr>
            <w:tcW w:w="2640" w:type="dxa"/>
            <w:vAlign w:val="bottom"/>
            <w:gridSpan w:val="2"/>
          </w:tcPr>
          <w:p>
            <w:pPr>
              <w:spacing w:after="0" w:line="224" w:lineRule="exact"/>
              <w:rPr>
                <w:sz w:val="20"/>
                <w:szCs w:val="20"/>
                <w:color w:val="auto"/>
              </w:rPr>
            </w:pPr>
            <w:r>
              <w:rPr>
                <w:rFonts w:ascii="Arial" w:cs="Arial" w:eastAsia="Arial" w:hAnsi="Arial"/>
                <w:sz w:val="22"/>
                <w:szCs w:val="22"/>
                <w:color w:val="auto"/>
                <w:w w:val="92"/>
              </w:rPr>
              <w:t>For the transition period from</w:t>
            </w:r>
          </w:p>
        </w:tc>
        <w:tc>
          <w:tcPr>
            <w:tcW w:w="1080" w:type="dxa"/>
            <w:vAlign w:val="bottom"/>
          </w:tcPr>
          <w:p>
            <w:pPr>
              <w:spacing w:after="0"/>
              <w:rPr>
                <w:sz w:val="19"/>
                <w:szCs w:val="19"/>
                <w:color w:val="auto"/>
              </w:rPr>
            </w:pPr>
          </w:p>
        </w:tc>
        <w:tc>
          <w:tcPr>
            <w:tcW w:w="1200" w:type="dxa"/>
            <w:vAlign w:val="bottom"/>
            <w:gridSpan w:val="2"/>
          </w:tcPr>
          <w:p>
            <w:pPr>
              <w:ind w:left="40"/>
              <w:spacing w:after="0" w:line="224" w:lineRule="exact"/>
              <w:rPr>
                <w:sz w:val="20"/>
                <w:szCs w:val="20"/>
                <w:color w:val="auto"/>
              </w:rPr>
            </w:pPr>
            <w:r>
              <w:rPr>
                <w:rFonts w:ascii="Arial" w:cs="Arial" w:eastAsia="Arial" w:hAnsi="Arial"/>
                <w:sz w:val="22"/>
                <w:szCs w:val="22"/>
                <w:color w:val="auto"/>
              </w:rPr>
              <w:t>to</w:t>
            </w:r>
          </w:p>
        </w:tc>
        <w:tc>
          <w:tcPr>
            <w:tcW w:w="140" w:type="dxa"/>
            <w:vAlign w:val="bottom"/>
          </w:tcPr>
          <w:p>
            <w:pPr>
              <w:spacing w:after="0"/>
              <w:rPr>
                <w:sz w:val="19"/>
                <w:szCs w:val="19"/>
                <w:color w:val="auto"/>
              </w:rPr>
            </w:pPr>
          </w:p>
        </w:tc>
      </w:tr>
      <w:tr>
        <w:trPr>
          <w:trHeight w:val="372"/>
        </w:trPr>
        <w:tc>
          <w:tcPr>
            <w:tcW w:w="2280" w:type="dxa"/>
            <w:vAlign w:val="bottom"/>
          </w:tcPr>
          <w:p>
            <w:pPr>
              <w:spacing w:after="0"/>
              <w:rPr>
                <w:sz w:val="20"/>
                <w:szCs w:val="20"/>
                <w:color w:val="auto"/>
              </w:rPr>
            </w:pPr>
            <w:r>
              <w:rPr>
                <w:rFonts w:ascii="Arial" w:cs="Arial" w:eastAsia="Arial" w:hAnsi="Arial"/>
                <w:sz w:val="22"/>
                <w:szCs w:val="22"/>
                <w:color w:val="auto"/>
                <w:w w:val="93"/>
              </w:rPr>
              <w:t>Commission file number:</w:t>
            </w:r>
          </w:p>
        </w:tc>
        <w:tc>
          <w:tcPr>
            <w:tcW w:w="36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bl>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ACTIVE POWER, INC.</w:t>
      </w:r>
    </w:p>
    <w:p>
      <w:pPr>
        <w:spacing w:after="0" w:line="22"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6400" w:type="dxa"/>
            <w:vAlign w:val="bottom"/>
          </w:tcPr>
          <w:p>
            <w:pPr>
              <w:jc w:val="center"/>
              <w:ind w:left="2904"/>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60" w:type="dxa"/>
            <w:vAlign w:val="bottom"/>
          </w:tcPr>
          <w:p>
            <w:pPr>
              <w:spacing w:after="0"/>
              <w:rPr>
                <w:sz w:val="14"/>
                <w:szCs w:val="14"/>
                <w:color w:val="auto"/>
              </w:rPr>
            </w:pPr>
          </w:p>
        </w:tc>
      </w:tr>
      <w:tr>
        <w:trPr>
          <w:trHeight w:val="218"/>
        </w:trPr>
        <w:tc>
          <w:tcPr>
            <w:tcW w:w="6400" w:type="dxa"/>
            <w:vAlign w:val="bottom"/>
          </w:tcPr>
          <w:p>
            <w:pPr>
              <w:jc w:val="center"/>
              <w:ind w:right="2824"/>
              <w:spacing w:after="0"/>
              <w:rPr>
                <w:sz w:val="20"/>
                <w:szCs w:val="20"/>
                <w:color w:val="auto"/>
              </w:rPr>
            </w:pPr>
            <w:r>
              <w:rPr>
                <w:rFonts w:ascii="Arial" w:cs="Arial" w:eastAsia="Arial" w:hAnsi="Arial"/>
                <w:sz w:val="18"/>
                <w:szCs w:val="18"/>
                <w:b w:val="1"/>
                <w:bCs w:val="1"/>
                <w:color w:val="auto"/>
                <w:w w:val="88"/>
              </w:rPr>
              <w:t>Delaware</w:t>
            </w:r>
          </w:p>
        </w:tc>
        <w:tc>
          <w:tcPr>
            <w:tcW w:w="2260" w:type="dxa"/>
            <w:vAlign w:val="bottom"/>
          </w:tcPr>
          <w:p>
            <w:pPr>
              <w:jc w:val="right"/>
              <w:ind w:right="542"/>
              <w:spacing w:after="0"/>
              <w:rPr>
                <w:sz w:val="20"/>
                <w:szCs w:val="20"/>
                <w:color w:val="auto"/>
              </w:rPr>
            </w:pPr>
            <w:r>
              <w:rPr>
                <w:rFonts w:ascii="Arial" w:cs="Arial" w:eastAsia="Arial" w:hAnsi="Arial"/>
                <w:sz w:val="18"/>
                <w:szCs w:val="18"/>
                <w:b w:val="1"/>
                <w:bCs w:val="1"/>
                <w:color w:val="auto"/>
              </w:rPr>
              <w:t>74-2961657</w:t>
            </w:r>
          </w:p>
        </w:tc>
      </w:tr>
      <w:tr>
        <w:trPr>
          <w:trHeight w:val="174"/>
        </w:trPr>
        <w:tc>
          <w:tcPr>
            <w:tcW w:w="6400" w:type="dxa"/>
            <w:vAlign w:val="bottom"/>
          </w:tcPr>
          <w:p>
            <w:pPr>
              <w:jc w:val="center"/>
              <w:ind w:right="2824"/>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22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6400" w:type="dxa"/>
            <w:vAlign w:val="bottom"/>
          </w:tcPr>
          <w:p>
            <w:pPr>
              <w:jc w:val="center"/>
              <w:ind w:right="2824"/>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2260" w:type="dxa"/>
            <w:vAlign w:val="bottom"/>
          </w:tcPr>
          <w:p>
            <w:pPr>
              <w:jc w:val="right"/>
              <w:ind w:right="742"/>
              <w:spacing w:after="0"/>
              <w:rPr>
                <w:sz w:val="20"/>
                <w:szCs w:val="20"/>
                <w:color w:val="auto"/>
              </w:rPr>
            </w:pPr>
            <w:r>
              <w:rPr>
                <w:rFonts w:ascii="Arial" w:cs="Arial" w:eastAsia="Arial" w:hAnsi="Arial"/>
                <w:sz w:val="18"/>
                <w:szCs w:val="18"/>
                <w:b w:val="1"/>
                <w:bCs w:val="1"/>
                <w:color w:val="auto"/>
              </w:rPr>
              <w:t>78758</w:t>
            </w:r>
          </w:p>
        </w:tc>
      </w:tr>
      <w:tr>
        <w:trPr>
          <w:trHeight w:val="174"/>
        </w:trPr>
        <w:tc>
          <w:tcPr>
            <w:tcW w:w="6400" w:type="dxa"/>
            <w:vAlign w:val="bottom"/>
          </w:tcPr>
          <w:p>
            <w:pPr>
              <w:jc w:val="center"/>
              <w:ind w:right="282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2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400" w:type="dxa"/>
            <w:vAlign w:val="bottom"/>
          </w:tcPr>
          <w:p>
            <w:pPr>
              <w:jc w:val="center"/>
              <w:ind w:left="2904"/>
              <w:spacing w:after="0"/>
              <w:rPr>
                <w:sz w:val="20"/>
                <w:szCs w:val="20"/>
                <w:color w:val="auto"/>
              </w:rPr>
            </w:pPr>
            <w:r>
              <w:rPr>
                <w:rFonts w:ascii="Arial" w:cs="Arial" w:eastAsia="Arial" w:hAnsi="Arial"/>
                <w:sz w:val="18"/>
                <w:szCs w:val="18"/>
                <w:b w:val="1"/>
                <w:bCs w:val="1"/>
                <w:color w:val="auto"/>
                <w:w w:val="89"/>
              </w:rPr>
              <w:t>(512) 836-6464</w:t>
            </w:r>
          </w:p>
        </w:tc>
        <w:tc>
          <w:tcPr>
            <w:tcW w:w="2260" w:type="dxa"/>
            <w:vAlign w:val="bottom"/>
          </w:tcPr>
          <w:p>
            <w:pPr>
              <w:spacing w:after="0"/>
              <w:rPr>
                <w:sz w:val="24"/>
                <w:szCs w:val="24"/>
                <w:color w:val="auto"/>
              </w:rPr>
            </w:pPr>
          </w:p>
        </w:tc>
      </w:tr>
      <w:tr>
        <w:trPr>
          <w:trHeight w:val="174"/>
        </w:trPr>
        <w:tc>
          <w:tcPr>
            <w:tcW w:w="6400" w:type="dxa"/>
            <w:vAlign w:val="bottom"/>
          </w:tcPr>
          <w:p>
            <w:pPr>
              <w:jc w:val="center"/>
              <w:ind w:left="29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260" w:type="dxa"/>
            <w:vAlign w:val="bottom"/>
          </w:tcPr>
          <w:p>
            <w:pPr>
              <w:spacing w:after="0"/>
              <w:rPr>
                <w:sz w:val="15"/>
                <w:szCs w:val="15"/>
                <w:color w:val="auto"/>
              </w:rPr>
            </w:pPr>
          </w:p>
        </w:tc>
      </w:tr>
    </w:tbl>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11525 Stonehollow Dr., Suite 110, Austin, Texas 78758</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30"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number of shares of common stock, par value of $0.001 per share, outstanding at March 31, 2003 was 41,840,372.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gridSpan w:val="2"/>
          </w:tcPr>
          <w:p>
            <w:pPr>
              <w:jc w:val="center"/>
              <w:ind w:right="2440"/>
              <w:spacing w:after="0"/>
              <w:rPr>
                <w:sz w:val="20"/>
                <w:szCs w:val="20"/>
                <w:color w:val="auto"/>
              </w:rPr>
            </w:pPr>
            <w:r>
              <w:rPr>
                <w:rFonts w:ascii="Arial" w:cs="Arial" w:eastAsia="Arial" w:hAnsi="Arial"/>
                <w:sz w:val="18"/>
                <w:szCs w:val="18"/>
                <w:color w:val="auto"/>
                <w:w w:val="94"/>
              </w:rPr>
              <w:t>ACTIVE POWER, INC.</w:t>
            </w:r>
          </w:p>
        </w:tc>
        <w:tc>
          <w:tcPr>
            <w:tcW w:w="236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gridSpan w:val="2"/>
          </w:tcPr>
          <w:p>
            <w:pPr>
              <w:jc w:val="center"/>
              <w:ind w:right="2440"/>
              <w:spacing w:after="0"/>
              <w:rPr>
                <w:sz w:val="20"/>
                <w:szCs w:val="20"/>
                <w:color w:val="auto"/>
              </w:rPr>
            </w:pPr>
            <w:r>
              <w:rPr>
                <w:rFonts w:ascii="Arial" w:cs="Arial" w:eastAsia="Arial" w:hAnsi="Arial"/>
                <w:sz w:val="18"/>
                <w:szCs w:val="18"/>
                <w:color w:val="auto"/>
                <w:w w:val="98"/>
              </w:rPr>
              <w:t>INDEX</w:t>
            </w:r>
          </w:p>
        </w:tc>
        <w:tc>
          <w:tcPr>
            <w:tcW w:w="2360" w:type="dxa"/>
            <w:vAlign w:val="bottom"/>
          </w:tcPr>
          <w:p>
            <w:pPr>
              <w:spacing w:after="0"/>
              <w:rPr>
                <w:sz w:val="19"/>
                <w:szCs w:val="19"/>
                <w:color w:val="auto"/>
              </w:rPr>
            </w:pPr>
          </w:p>
        </w:tc>
      </w:tr>
      <w:tr>
        <w:trPr>
          <w:trHeight w:val="326"/>
        </w:trPr>
        <w:tc>
          <w:tcPr>
            <w:tcW w:w="29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I—FINANCIAL INFORMATION</w:t>
              </w:r>
            </w:hyperlink>
          </w:p>
        </w:tc>
        <w:tc>
          <w:tcPr>
            <w:tcW w:w="6140" w:type="dxa"/>
            <w:vAlign w:val="bottom"/>
            <w:gridSpan w:val="9"/>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90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40" w:type="dxa"/>
            <w:vAlign w:val="bottom"/>
            <w:tcBorders>
              <w:top w:val="single" w:sz="8" w:color="0000EE"/>
            </w:tcBorders>
          </w:tcPr>
          <w:p>
            <w:pPr>
              <w:spacing w:after="0"/>
              <w:rPr>
                <w:sz w:val="24"/>
                <w:szCs w:val="24"/>
                <w:color w:val="auto"/>
              </w:rPr>
            </w:pPr>
          </w:p>
        </w:tc>
        <w:tc>
          <w:tcPr>
            <w:tcW w:w="1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BALANCE SHEETS</w:t>
              </w:r>
            </w:hyperlink>
          </w:p>
        </w:tc>
        <w:tc>
          <w:tcPr>
            <w:tcW w:w="80" w:type="dxa"/>
            <w:vAlign w:val="bottom"/>
            <w:tcBorders>
              <w:top w:val="single" w:sz="8" w:color="0000EE"/>
            </w:tcBorders>
          </w:tcPr>
          <w:p>
            <w:pPr>
              <w:spacing w:after="0"/>
              <w:rPr>
                <w:sz w:val="24"/>
                <w:szCs w:val="24"/>
                <w:color w:val="auto"/>
              </w:rPr>
            </w:pPr>
          </w:p>
        </w:tc>
        <w:tc>
          <w:tcPr>
            <w:tcW w:w="7000" w:type="dxa"/>
            <w:vAlign w:val="bottom"/>
            <w:gridSpan w:val="1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4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CASH FLOWS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Financial Statements</w:t>
              </w:r>
            </w:hyperlink>
          </w:p>
        </w:tc>
        <w:tc>
          <w:tcPr>
            <w:tcW w:w="420" w:type="dxa"/>
            <w:vAlign w:val="bottom"/>
            <w:tcBorders>
              <w:top w:val="single" w:sz="8" w:color="0000EE"/>
            </w:tcBorders>
            <w:gridSpan w:val="6"/>
          </w:tcPr>
          <w:p>
            <w:pPr>
              <w:spacing w:after="0"/>
              <w:rPr>
                <w:sz w:val="24"/>
                <w:szCs w:val="24"/>
                <w:color w:val="auto"/>
              </w:rPr>
            </w:pPr>
          </w:p>
        </w:tc>
        <w:tc>
          <w:tcPr>
            <w:tcW w:w="608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904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Item 2. 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40" w:type="dxa"/>
            <w:vAlign w:val="bottom"/>
            <w:tcBorders>
              <w:top w:val="single" w:sz="8" w:color="0000EE"/>
            </w:tcBorders>
          </w:tcPr>
          <w:p>
            <w:pPr>
              <w:spacing w:after="0"/>
              <w:rPr>
                <w:sz w:val="24"/>
                <w:szCs w:val="24"/>
                <w:color w:val="auto"/>
              </w:rPr>
            </w:pPr>
          </w:p>
        </w:tc>
        <w:tc>
          <w:tcPr>
            <w:tcW w:w="6420" w:type="dxa"/>
            <w:vAlign w:val="bottom"/>
            <w:tcBorders>
              <w:top w:val="single" w:sz="8" w:color="0000EE"/>
            </w:tcBorders>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Liquidity and Capital Resources</w:t>
              </w:r>
            </w:hyperlink>
          </w:p>
        </w:tc>
        <w:tc>
          <w:tcPr>
            <w:tcW w:w="218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440" w:type="dxa"/>
            <w:vAlign w:val="bottom"/>
          </w:tcPr>
          <w:p>
            <w:pPr>
              <w:spacing w:after="0"/>
              <w:rPr>
                <w:sz w:val="24"/>
                <w:szCs w:val="24"/>
                <w:color w:val="auto"/>
              </w:rPr>
            </w:pPr>
          </w:p>
        </w:tc>
        <w:tc>
          <w:tcPr>
            <w:tcW w:w="4240" w:type="dxa"/>
            <w:vAlign w:val="bottom"/>
            <w:tcBorders>
              <w:top w:val="single" w:sz="8" w:color="0000EE"/>
            </w:tcBorders>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 That May Affect Future Results</w:t>
              </w:r>
            </w:hyperlink>
          </w:p>
        </w:tc>
        <w:tc>
          <w:tcPr>
            <w:tcW w:w="436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4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 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22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Item 4. Controls and Procedures</w:t>
              </w:r>
            </w:hyperlink>
          </w:p>
        </w:tc>
        <w:tc>
          <w:tcPr>
            <w:tcW w:w="2520" w:type="dxa"/>
            <w:vAlign w:val="bottom"/>
            <w:tcBorders>
              <w:top w:val="single" w:sz="8" w:color="0000EE"/>
            </w:tcBorders>
            <w:gridSpan w:val="12"/>
          </w:tcPr>
          <w:p>
            <w:pPr>
              <w:spacing w:after="0"/>
              <w:rPr>
                <w:sz w:val="24"/>
                <w:szCs w:val="24"/>
                <w:color w:val="auto"/>
              </w:rPr>
            </w:pPr>
          </w:p>
        </w:tc>
        <w:tc>
          <w:tcPr>
            <w:tcW w:w="426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904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 – 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Item 1. Legal Proceedings.</w:t>
              </w:r>
            </w:hyperlink>
          </w:p>
        </w:tc>
        <w:tc>
          <w:tcPr>
            <w:tcW w:w="700" w:type="dxa"/>
            <w:vAlign w:val="bottom"/>
            <w:tcBorders>
              <w:top w:val="single" w:sz="8" w:color="0000EE"/>
            </w:tcBorders>
            <w:gridSpan w:val="5"/>
          </w:tcPr>
          <w:p>
            <w:pPr>
              <w:spacing w:after="0"/>
              <w:rPr>
                <w:sz w:val="24"/>
                <w:szCs w:val="24"/>
                <w:color w:val="auto"/>
              </w:rPr>
            </w:pPr>
          </w:p>
        </w:tc>
        <w:tc>
          <w:tcPr>
            <w:tcW w:w="646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904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Changes in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3600" w:type="dxa"/>
            <w:vAlign w:val="bottom"/>
            <w:tcBorders>
              <w:top w:val="single" w:sz="8" w:color="0000EE"/>
            </w:tcBorders>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 Defaults Upon Senior Securities.</w:t>
              </w:r>
            </w:hyperlink>
          </w:p>
        </w:tc>
        <w:tc>
          <w:tcPr>
            <w:tcW w:w="544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860" w:type="dxa"/>
            <w:vAlign w:val="bottom"/>
            <w:gridSpan w:val="2"/>
            <w:shd w:val="clear" w:color="auto" w:fill="0000EE"/>
          </w:tcPr>
          <w:p>
            <w:pPr>
              <w:spacing w:after="0" w:line="20" w:lineRule="exact"/>
              <w:rPr>
                <w:sz w:val="1"/>
                <w:szCs w:val="1"/>
                <w:color w:val="auto"/>
              </w:rPr>
            </w:pPr>
          </w:p>
        </w:tc>
        <w:tc>
          <w:tcPr>
            <w:tcW w:w="980" w:type="dxa"/>
            <w:vAlign w:val="bottom"/>
            <w:gridSpan w:val="8"/>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42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Item 4. Submission of Matters to a Vote of Security Holders.</w:t>
              </w:r>
            </w:hyperlink>
          </w:p>
        </w:tc>
        <w:tc>
          <w:tcPr>
            <w:tcW w:w="478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8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Item 5. Other Information.</w:t>
              </w:r>
            </w:hyperlink>
          </w:p>
        </w:tc>
        <w:tc>
          <w:tcPr>
            <w:tcW w:w="7180" w:type="dxa"/>
            <w:vAlign w:val="bottom"/>
            <w:gridSpan w:val="18"/>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904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6. Exhibits and Reports on Form 8-K.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3"/>
        </w:trPr>
        <w:tc>
          <w:tcPr>
            <w:tcW w:w="44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2"/>
          </w:tcPr>
          <w:p>
            <w:pPr>
              <w:jc w:val="center"/>
              <w:ind w:right="2440"/>
              <w:spacing w:after="0"/>
              <w:rPr>
                <w:sz w:val="20"/>
                <w:szCs w:val="20"/>
                <w:color w:val="auto"/>
              </w:rPr>
            </w:pPr>
            <w:r>
              <w:rPr>
                <w:rFonts w:ascii="Arial" w:cs="Arial" w:eastAsia="Arial" w:hAnsi="Arial"/>
                <w:sz w:val="18"/>
                <w:szCs w:val="18"/>
                <w:color w:val="auto"/>
              </w:rPr>
              <w:t>i</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March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4"/>
        </w:trPr>
        <w:tc>
          <w:tcPr>
            <w:tcW w:w="9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420" w:type="dxa"/>
            <w:vAlign w:val="bottom"/>
          </w:tcPr>
          <w:p>
            <w:pPr>
              <w:spacing w:after="0"/>
              <w:rPr>
                <w:sz w:val="21"/>
                <w:szCs w:val="21"/>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91"/>
        </w:trPr>
        <w:tc>
          <w:tcPr>
            <w:tcW w:w="9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62,934</w:t>
            </w:r>
          </w:p>
        </w:tc>
        <w:tc>
          <w:tcPr>
            <w:tcW w:w="60" w:type="dxa"/>
            <w:vAlign w:val="bottom"/>
            <w:shd w:val="clear" w:color="auto" w:fill="CCEEFF"/>
          </w:tcPr>
          <w:p>
            <w:pPr>
              <w:spacing w:after="0"/>
              <w:rPr>
                <w:sz w:val="18"/>
                <w:szCs w:val="18"/>
                <w:color w:val="auto"/>
              </w:rPr>
            </w:pPr>
          </w:p>
        </w:tc>
      </w:tr>
      <w:tr>
        <w:trPr>
          <w:trHeight w:val="216"/>
        </w:trPr>
        <w:tc>
          <w:tcPr>
            <w:tcW w:w="94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1,510</w:t>
            </w:r>
          </w:p>
        </w:tc>
        <w:tc>
          <w:tcPr>
            <w:tcW w:w="60" w:type="dxa"/>
            <w:vAlign w:val="bottom"/>
          </w:tcPr>
          <w:p>
            <w:pPr>
              <w:spacing w:after="0"/>
              <w:rPr>
                <w:sz w:val="18"/>
                <w:szCs w:val="18"/>
                <w:color w:val="auto"/>
              </w:rPr>
            </w:pPr>
          </w:p>
        </w:tc>
      </w:tr>
      <w:tr>
        <w:trPr>
          <w:trHeight w:val="216"/>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60" w:type="dxa"/>
            <w:vAlign w:val="bottom"/>
            <w:shd w:val="clear" w:color="auto" w:fill="CCEEFF"/>
          </w:tcPr>
          <w:p>
            <w:pPr>
              <w:spacing w:after="0"/>
              <w:rPr>
                <w:sz w:val="18"/>
                <w:szCs w:val="18"/>
                <w:color w:val="auto"/>
              </w:rPr>
            </w:pPr>
          </w:p>
        </w:tc>
      </w:tr>
      <w:tr>
        <w:trPr>
          <w:trHeight w:val="222"/>
        </w:trPr>
        <w:tc>
          <w:tcPr>
            <w:tcW w:w="942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9"/>
                <w:szCs w:val="19"/>
                <w:color w:val="auto"/>
              </w:rPr>
            </w:pPr>
          </w:p>
        </w:tc>
      </w:tr>
      <w:tr>
        <w:trPr>
          <w:trHeight w:val="102"/>
        </w:trPr>
        <w:tc>
          <w:tcPr>
            <w:tcW w:w="9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71,568</w:t>
            </w:r>
          </w:p>
        </w:tc>
        <w:tc>
          <w:tcPr>
            <w:tcW w:w="60" w:type="dxa"/>
            <w:vAlign w:val="bottom"/>
            <w:shd w:val="clear" w:color="auto" w:fill="CCEEFF"/>
          </w:tcPr>
          <w:p>
            <w:pPr>
              <w:spacing w:after="0"/>
              <w:rPr>
                <w:sz w:val="18"/>
                <w:szCs w:val="18"/>
                <w:color w:val="auto"/>
              </w:rPr>
            </w:pPr>
          </w:p>
        </w:tc>
      </w:tr>
      <w:tr>
        <w:trPr>
          <w:trHeight w:val="216"/>
        </w:trPr>
        <w:tc>
          <w:tcPr>
            <w:tcW w:w="94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12,095</w:t>
            </w:r>
          </w:p>
        </w:tc>
        <w:tc>
          <w:tcPr>
            <w:tcW w:w="60" w:type="dxa"/>
            <w:vAlign w:val="bottom"/>
          </w:tcPr>
          <w:p>
            <w:pPr>
              <w:spacing w:after="0"/>
              <w:rPr>
                <w:sz w:val="18"/>
                <w:szCs w:val="18"/>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60" w:type="dxa"/>
            <w:vAlign w:val="bottom"/>
            <w:shd w:val="clear" w:color="auto" w:fill="CCEEFF"/>
          </w:tcPr>
          <w:p>
            <w:pPr>
              <w:spacing w:after="0"/>
              <w:rPr>
                <w:sz w:val="18"/>
                <w:szCs w:val="18"/>
                <w:color w:val="auto"/>
              </w:rPr>
            </w:pPr>
          </w:p>
        </w:tc>
      </w:tr>
      <w:tr>
        <w:trPr>
          <w:trHeight w:val="108"/>
        </w:trPr>
        <w:tc>
          <w:tcPr>
            <w:tcW w:w="9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104,445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w:t>
            </w:r>
          </w:p>
        </w:tc>
        <w:tc>
          <w:tcPr>
            <w:tcW w:w="60" w:type="dxa"/>
            <w:vAlign w:val="bottom"/>
            <w:shd w:val="clear" w:color="auto" w:fill="CCEEFF"/>
          </w:tcPr>
          <w:p>
            <w:pPr>
              <w:spacing w:after="0"/>
              <w:rPr>
                <w:sz w:val="18"/>
                <w:szCs w:val="18"/>
                <w:color w:val="auto"/>
              </w:rPr>
            </w:pPr>
          </w:p>
        </w:tc>
      </w:tr>
      <w:tr>
        <w:trPr>
          <w:trHeight w:val="132"/>
        </w:trPr>
        <w:tc>
          <w:tcPr>
            <w:tcW w:w="9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80"/>
        </w:trPr>
        <w:tc>
          <w:tcPr>
            <w:tcW w:w="9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91"/>
        </w:trPr>
        <w:tc>
          <w:tcPr>
            <w:tcW w:w="9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60" w:type="dxa"/>
            <w:vAlign w:val="bottom"/>
            <w:shd w:val="clear" w:color="auto" w:fill="CCEEFF"/>
          </w:tcPr>
          <w:p>
            <w:pPr>
              <w:spacing w:after="0"/>
              <w:rPr>
                <w:sz w:val="18"/>
                <w:szCs w:val="18"/>
                <w:color w:val="auto"/>
              </w:rPr>
            </w:pPr>
          </w:p>
        </w:tc>
      </w:tr>
      <w:tr>
        <w:trPr>
          <w:trHeight w:val="222"/>
        </w:trPr>
        <w:tc>
          <w:tcPr>
            <w:tcW w:w="942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r>
      <w:tr>
        <w:trPr>
          <w:trHeight w:val="102"/>
        </w:trPr>
        <w:tc>
          <w:tcPr>
            <w:tcW w:w="9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60" w:type="dxa"/>
            <w:vAlign w:val="bottom"/>
            <w:shd w:val="clear" w:color="auto" w:fill="CCEEFF"/>
          </w:tcPr>
          <w:p>
            <w:pPr>
              <w:spacing w:after="0"/>
              <w:rPr>
                <w:sz w:val="18"/>
                <w:szCs w:val="18"/>
                <w:color w:val="auto"/>
              </w:rPr>
            </w:pPr>
          </w:p>
        </w:tc>
      </w:tr>
      <w:tr>
        <w:trPr>
          <w:trHeight w:val="216"/>
        </w:trPr>
        <w:tc>
          <w:tcPr>
            <w:tcW w:w="94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r>
      <w:tr>
        <w:trPr>
          <w:trHeight w:val="216"/>
        </w:trPr>
        <w:tc>
          <w:tcPr>
            <w:tcW w:w="9420" w:type="dxa"/>
            <w:vAlign w:val="bottom"/>
          </w:tcPr>
          <w:p>
            <w:pPr>
              <w:ind w:left="38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94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214,780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214,548</w:t>
            </w:r>
          </w:p>
        </w:tc>
        <w:tc>
          <w:tcPr>
            <w:tcW w:w="60" w:type="dxa"/>
            <w:vAlign w:val="bottom"/>
          </w:tcPr>
          <w:p>
            <w:pPr>
              <w:spacing w:after="0"/>
              <w:rPr>
                <w:sz w:val="18"/>
                <w:szCs w:val="18"/>
                <w:color w:val="auto"/>
              </w:rPr>
            </w:pPr>
          </w:p>
        </w:tc>
      </w:tr>
      <w:tr>
        <w:trPr>
          <w:trHeight w:val="216"/>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(114,639)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(108,315)</w:t>
            </w:r>
          </w:p>
        </w:tc>
      </w:tr>
      <w:tr>
        <w:trPr>
          <w:trHeight w:val="222"/>
        </w:trPr>
        <w:tc>
          <w:tcPr>
            <w:tcW w:w="9420" w:type="dxa"/>
            <w:vAlign w:val="bottom"/>
          </w:tcPr>
          <w:p>
            <w:pPr>
              <w:ind w:left="380"/>
              <w:spacing w:after="0"/>
              <w:rPr>
                <w:sz w:val="20"/>
                <w:szCs w:val="20"/>
                <w:color w:val="auto"/>
              </w:rPr>
            </w:pPr>
            <w:r>
              <w:rPr>
                <w:rFonts w:ascii="Arial" w:cs="Arial" w:eastAsia="Arial" w:hAnsi="Arial"/>
                <w:sz w:val="18"/>
                <w:szCs w:val="18"/>
                <w:color w:val="auto"/>
              </w:rPr>
              <w:t>Other accumulated comprehensive income</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9"/>
                <w:szCs w:val="19"/>
                <w:color w:val="auto"/>
              </w:rPr>
            </w:pPr>
          </w:p>
        </w:tc>
      </w:tr>
      <w:tr>
        <w:trPr>
          <w:trHeight w:val="102"/>
        </w:trPr>
        <w:tc>
          <w:tcPr>
            <w:tcW w:w="9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100,483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106,660</w:t>
            </w:r>
          </w:p>
        </w:tc>
        <w:tc>
          <w:tcPr>
            <w:tcW w:w="60" w:type="dxa"/>
            <w:vAlign w:val="bottom"/>
            <w:shd w:val="clear" w:color="auto" w:fill="CCEEFF"/>
          </w:tcPr>
          <w:p>
            <w:pPr>
              <w:spacing w:after="0"/>
              <w:rPr>
                <w:sz w:val="18"/>
                <w:szCs w:val="18"/>
                <w:color w:val="auto"/>
              </w:rPr>
            </w:pPr>
          </w:p>
        </w:tc>
      </w:tr>
      <w:tr>
        <w:trPr>
          <w:trHeight w:val="108"/>
        </w:trPr>
        <w:tc>
          <w:tcPr>
            <w:tcW w:w="9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104,445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w:t>
            </w:r>
          </w:p>
        </w:tc>
        <w:tc>
          <w:tcPr>
            <w:tcW w:w="60" w:type="dxa"/>
            <w:vAlign w:val="bottom"/>
            <w:shd w:val="clear" w:color="auto" w:fill="CCEEFF"/>
          </w:tcPr>
          <w:p>
            <w:pPr>
              <w:spacing w:after="0"/>
              <w:rPr>
                <w:sz w:val="18"/>
                <w:szCs w:val="18"/>
                <w:color w:val="auto"/>
              </w:rPr>
            </w:pPr>
          </w:p>
        </w:tc>
      </w:tr>
      <w:tr>
        <w:trPr>
          <w:trHeight w:val="132"/>
        </w:trPr>
        <w:tc>
          <w:tcPr>
            <w:tcW w:w="9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-2773680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-2773680</wp:posOffset>
            </wp:positionV>
            <wp:extent cx="2159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-2773680</wp:posOffset>
            </wp:positionV>
            <wp:extent cx="3873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-2773680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-2773680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-2773680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60325</wp:posOffset>
            </wp:positionV>
            <wp:extent cx="995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Product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1,625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3,131</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 contract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Cost of development contract</w:t>
            </w:r>
          </w:p>
        </w:tc>
        <w:tc>
          <w:tcPr>
            <w:tcW w:w="100" w:type="dxa"/>
            <w:vAlign w:val="bottom"/>
          </w:tcPr>
          <w:p>
            <w:pPr>
              <w:spacing w:after="0"/>
              <w:rPr>
                <w:sz w:val="18"/>
                <w:szCs w:val="18"/>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Selling, general &amp; administrative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11,594</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(6,947)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(7,463)</w:t>
            </w: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905</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(6,324)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(6,539)</w:t>
            </w:r>
          </w:p>
        </w:tc>
      </w:tr>
      <w:tr>
        <w:trPr>
          <w:trHeight w:val="132"/>
        </w:trPr>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2"/>
        </w:trPr>
        <w:tc>
          <w:tcPr>
            <w:tcW w:w="9780" w:type="dxa"/>
            <w:vAlign w:val="bottom"/>
          </w:tcPr>
          <w:p>
            <w:pPr>
              <w:ind w:left="20"/>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41,748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40,847</w:t>
            </w:r>
          </w:p>
        </w:tc>
        <w:tc>
          <w:tcPr>
            <w:tcW w:w="60" w:type="dxa"/>
            <w:vAlign w:val="bottom"/>
          </w:tcPr>
          <w:p>
            <w:pPr>
              <w:spacing w:after="0"/>
              <w:rPr>
                <w:sz w:val="19"/>
                <w:szCs w:val="19"/>
                <w:color w:val="auto"/>
              </w:rPr>
            </w:pPr>
          </w:p>
        </w:tc>
      </w:tr>
      <w:tr>
        <w:trPr>
          <w:trHeight w:val="169"/>
        </w:trPr>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(6,324)</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(6,539)</w:t>
            </w: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gain on investments in marketable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(5,857)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(6,434)</w:t>
            </w:r>
          </w:p>
        </w:tc>
      </w:tr>
      <w:tr>
        <w:trPr>
          <w:trHeight w:val="132"/>
        </w:trPr>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-1272540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-1272540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-1272540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-1272540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-1272540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-1272540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39878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(Thousands)</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60325</wp:posOffset>
            </wp:positionV>
            <wp:extent cx="9950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r>
      <w:tr>
        <w:trPr>
          <w:trHeight w:val="95"/>
        </w:trPr>
        <w:tc>
          <w:tcPr>
            <w:tcW w:w="9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 (6,324)</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85"/>
              </w:rPr>
              <w:t>$ (6,539)</w:t>
            </w: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Depreciation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deferred stock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16"/>
        </w:trPr>
        <w:tc>
          <w:tcPr>
            <w:tcW w:w="978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580" w:type="dxa"/>
            <w:vAlign w:val="bottom"/>
          </w:tcPr>
          <w:p>
            <w:pPr>
              <w:jc w:val="right"/>
              <w:spacing w:after="0"/>
              <w:rPr>
                <w:sz w:val="20"/>
                <w:szCs w:val="20"/>
                <w:color w:val="auto"/>
              </w:rPr>
            </w:pPr>
            <w:r>
              <w:rPr>
                <w:rFonts w:ascii="Arial" w:cs="Arial" w:eastAsia="Arial" w:hAnsi="Arial"/>
                <w:sz w:val="18"/>
                <w:szCs w:val="18"/>
                <w:color w:val="auto"/>
              </w:rPr>
              <w:t>888</w:t>
            </w:r>
          </w:p>
        </w:tc>
        <w:tc>
          <w:tcPr>
            <w:tcW w:w="4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978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4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(2,302)</w:t>
            </w:r>
          </w:p>
        </w:tc>
      </w:tr>
      <w:tr>
        <w:trPr>
          <w:trHeight w:val="216"/>
        </w:trPr>
        <w:tc>
          <w:tcPr>
            <w:tcW w:w="9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expenses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108"/>
        </w:trPr>
        <w:tc>
          <w:tcPr>
            <w:tcW w:w="97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(4,861)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(8,665)</w:t>
            </w:r>
          </w:p>
        </w:tc>
      </w:tr>
      <w:tr>
        <w:trPr>
          <w:trHeight w:val="391"/>
        </w:trPr>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maturity (purchase) of investments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(3,218)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60" w:type="dxa"/>
            <w:vAlign w:val="bottom"/>
            <w:shd w:val="clear" w:color="auto" w:fill="CCEEFF"/>
          </w:tcPr>
          <w:p>
            <w:pPr>
              <w:spacing w:after="0"/>
              <w:rPr>
                <w:sz w:val="18"/>
                <w:szCs w:val="18"/>
                <w:color w:val="auto"/>
              </w:rPr>
            </w:pPr>
          </w:p>
        </w:tc>
      </w:tr>
      <w:tr>
        <w:trPr>
          <w:trHeight w:val="222"/>
        </w:trPr>
        <w:tc>
          <w:tcPr>
            <w:tcW w:w="97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(122)</w:t>
            </w:r>
          </w:p>
        </w:tc>
      </w:tr>
      <w:tr>
        <w:trPr>
          <w:trHeight w:val="102"/>
        </w:trPr>
        <w:tc>
          <w:tcPr>
            <w:tcW w:w="9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60" w:type="dxa"/>
            <w:vAlign w:val="bottom"/>
            <w:shd w:val="clear" w:color="auto" w:fill="CCEEFF"/>
          </w:tcPr>
          <w:p>
            <w:pPr>
              <w:spacing w:after="0"/>
              <w:rPr>
                <w:sz w:val="18"/>
                <w:szCs w:val="18"/>
                <w:color w:val="auto"/>
              </w:rPr>
            </w:pPr>
          </w:p>
        </w:tc>
      </w:tr>
      <w:tr>
        <w:trPr>
          <w:trHeight w:val="391"/>
        </w:trPr>
        <w:tc>
          <w:tcPr>
            <w:tcW w:w="97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issuance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r>
      <w:tr>
        <w:trPr>
          <w:trHeight w:val="108"/>
        </w:trPr>
        <w:tc>
          <w:tcPr>
            <w:tcW w:w="97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(8,439)</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22"/>
        </w:trPr>
        <w:tc>
          <w:tcPr>
            <w:tcW w:w="978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62,934</w:t>
            </w:r>
          </w:p>
        </w:tc>
        <w:tc>
          <w:tcPr>
            <w:tcW w:w="4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80,401</w:t>
            </w:r>
          </w:p>
        </w:tc>
        <w:tc>
          <w:tcPr>
            <w:tcW w:w="60" w:type="dxa"/>
            <w:vAlign w:val="bottom"/>
          </w:tcPr>
          <w:p>
            <w:pPr>
              <w:spacing w:after="0"/>
              <w:rPr>
                <w:sz w:val="19"/>
                <w:szCs w:val="19"/>
                <w:color w:val="auto"/>
              </w:rPr>
            </w:pPr>
          </w:p>
        </w:tc>
      </w:tr>
      <w:tr>
        <w:trPr>
          <w:trHeight w:val="102"/>
        </w:trPr>
        <w:tc>
          <w:tcPr>
            <w:tcW w:w="97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$54,495</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$74,567</w:t>
            </w:r>
          </w:p>
        </w:tc>
        <w:tc>
          <w:tcPr>
            <w:tcW w:w="60" w:type="dxa"/>
            <w:vAlign w:val="bottom"/>
            <w:shd w:val="clear" w:color="auto" w:fill="CCEEFF"/>
          </w:tcPr>
          <w:p>
            <w:pPr>
              <w:spacing w:after="0"/>
              <w:rPr>
                <w:sz w:val="18"/>
                <w:szCs w:val="18"/>
                <w:color w:val="auto"/>
              </w:rPr>
            </w:pPr>
          </w:p>
        </w:tc>
      </w:tr>
      <w:tr>
        <w:trPr>
          <w:trHeight w:val="132"/>
        </w:trPr>
        <w:tc>
          <w:tcPr>
            <w:tcW w:w="97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9878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Active Power, Inc. was founded in 1992 for the purpose of developing and commercializing advances in the field of electromechanics. Prior to 2000, we devoted our efforts principally to research and development, pursuing patent protection for our innovations, successful production of our initial prototypes, raising capital and pursuing markets for our flywheel-based power quality and energy storage products. In 2000 and 2001, the size and scope of our operations expanded considerably. We raised our level of new product development, increased our manufacturing capabilities and capacity, and added resources in sales and service to strengthen our distribution channels.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Form 10-K for the year ended December 31, 2002.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 Certain reclassifications have been made to the 2002 financial statements to conform to the 2003 presentation.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states inventories at the lower of cost or market. Inventories consist of the following (in thousands):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9"/>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19"/>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79"/>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Work in process</w:t>
            </w: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680" w:type="dxa"/>
            <w:vAlign w:val="bottom"/>
          </w:tcPr>
          <w:p>
            <w:pPr>
              <w:spacing w:after="0"/>
              <w:rPr>
                <w:sz w:val="11"/>
                <w:szCs w:val="11"/>
                <w:color w:val="auto"/>
              </w:rPr>
            </w:pPr>
          </w:p>
        </w:tc>
        <w:tc>
          <w:tcPr>
            <w:tcW w:w="3200" w:type="dxa"/>
            <w:vAlign w:val="bottom"/>
            <w:vMerge w:val="restart"/>
          </w:tcPr>
          <w:p>
            <w:pPr>
              <w:jc w:val="right"/>
              <w:ind w:right="1472"/>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6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-325755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-325755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 Structure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53"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Three Months</w:t>
      </w:r>
    </w:p>
    <w:p>
      <w:pPr>
        <w:spacing w:after="0" w:line="1"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60325</wp:posOffset>
            </wp:positionV>
            <wp:extent cx="1457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(6,324)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(6,539)</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Weighted-average shares of common stock outstanding (thousands)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140" w:type="dxa"/>
            <w:vAlign w:val="bottom"/>
            <w:gridSpan w:val="2"/>
          </w:tcPr>
          <w:p>
            <w:pPr>
              <w:ind w:left="240"/>
              <w:spacing w:after="0"/>
              <w:rPr>
                <w:sz w:val="20"/>
                <w:szCs w:val="20"/>
                <w:color w:val="auto"/>
              </w:rPr>
            </w:pPr>
            <w:r>
              <w:rPr>
                <w:rFonts w:ascii="Arial" w:cs="Arial" w:eastAsia="Arial" w:hAnsi="Arial"/>
                <w:sz w:val="18"/>
                <w:szCs w:val="18"/>
                <w:color w:val="auto"/>
                <w:w w:val="94"/>
              </w:rPr>
              <w:t>Weighted-average shares of common stock subject to repurchase (thousands)</w:t>
            </w:r>
          </w:p>
        </w:tc>
        <w:tc>
          <w:tcPr>
            <w:tcW w:w="14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r>
      <w:tr>
        <w:trPr>
          <w:trHeight w:val="102"/>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 (thousands)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6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r>
      <w:tr>
        <w:trPr>
          <w:trHeight w:val="132"/>
        </w:trPr>
        <w:tc>
          <w:tcPr>
            <w:tcW w:w="6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-329565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-329565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-329565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-329565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-329565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-329565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93916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16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Legal Proceedings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March 2002 we were named as defendants in a complaint filed in Michigan state court. The plaintiffs are seeking damages for the alleged breach of a joint venture agreement, the breach of fiduciary duties, the misappropriation of trade secrets, and the commission of other torts relating to this joint venture. Further detail is provided later in this document under the Legal Proceedings section (Item 1) of Part II. In January 2003, Active Power, and the other defendants, sought the removal of this case to the United States District Court for the Eastern District of Michigan. After a hearing on April 16, 2003, the judge remanded the case back to Michigan state court in the Circuit Court for the County of Wayne. The parties are scheduled to meet for non-binding mediation in Detroit in May 2003. This proceeding is in the discovery phase, and we are therefore unable to determine the ultimate outcome of this claim at this time.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Accounting for Stock-Based Compensation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allowed by Statement No. 123, Accounting for Stock-Based Compensation, Active Power accounts for its stock compensation arrangements with employees using the intrinsic value method under the provisions of the Accounting Principles Board’s Opinion No. 25, Accounting for Stock Issued to Employees. Deferred stock-based compensation is amortized over the vesting period, which is generally four years, utilizing the accelerated method prescribed in FASB Interpretation No. 28. Pro Forma stock compensation in accordance with Statement No. 123 is amortized using the straight line method over the vesting period.</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Statement No. 123 (in thousands, except per share data):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60325</wp:posOffset>
            </wp:positionV>
            <wp:extent cx="9607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5"/>
                <w:szCs w:val="15"/>
                <w:color w:val="auto"/>
              </w:rPr>
            </w:pPr>
          </w:p>
        </w:tc>
      </w:tr>
      <w:tr>
        <w:trPr>
          <w:trHeight w:val="95"/>
        </w:trPr>
        <w:tc>
          <w:tcPr>
            <w:tcW w:w="9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(6,324)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(6,539)</w:t>
            </w:r>
          </w:p>
        </w:tc>
      </w:tr>
      <w:tr>
        <w:trPr>
          <w:trHeight w:val="216"/>
        </w:trPr>
        <w:tc>
          <w:tcPr>
            <w:tcW w:w="9840" w:type="dxa"/>
            <w:vAlign w:val="bottom"/>
          </w:tcPr>
          <w:p>
            <w:pPr>
              <w:ind w:left="20"/>
              <w:spacing w:after="0"/>
              <w:rPr>
                <w:sz w:val="20"/>
                <w:szCs w:val="20"/>
                <w:color w:val="auto"/>
              </w:rPr>
            </w:pPr>
            <w:r>
              <w:rPr>
                <w:rFonts w:ascii="Arial" w:cs="Arial" w:eastAsia="Arial" w:hAnsi="Arial"/>
                <w:sz w:val="18"/>
                <w:szCs w:val="18"/>
                <w:color w:val="auto"/>
              </w:rPr>
              <w:t>Total stock-based compensation cost, net of related tax effects included in the determination of net income as reported</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(628)</w:t>
            </w:r>
          </w:p>
        </w:tc>
      </w:tr>
      <w:tr>
        <w:trPr>
          <w:trHeight w:val="208"/>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The stock-based employee compensation cost, net of related tax effects, that would have been included in the determination of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if the fair value based method had been applied to all awards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2,210</w:t>
            </w:r>
          </w:p>
        </w:tc>
        <w:tc>
          <w:tcPr>
            <w:tcW w:w="60" w:type="dxa"/>
            <w:vAlign w:val="bottom"/>
            <w:shd w:val="clear" w:color="auto" w:fill="CCEEFF"/>
          </w:tcPr>
          <w:p>
            <w:pPr>
              <w:spacing w:after="0"/>
              <w:rPr>
                <w:sz w:val="19"/>
                <w:szCs w:val="19"/>
                <w:color w:val="auto"/>
              </w:rPr>
            </w:pPr>
          </w:p>
        </w:tc>
      </w:tr>
      <w:tr>
        <w:trPr>
          <w:trHeight w:val="108"/>
        </w:trPr>
        <w:tc>
          <w:tcPr>
            <w:tcW w:w="9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(7,964)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(8,121)</w:t>
            </w:r>
          </w:p>
        </w:tc>
      </w:tr>
      <w:tr>
        <w:trPr>
          <w:trHeight w:val="132"/>
        </w:trPr>
        <w:tc>
          <w:tcPr>
            <w:tcW w:w="9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40" w:type="dxa"/>
            <w:vAlign w:val="bottom"/>
          </w:tcPr>
          <w:p>
            <w:pPr>
              <w:ind w:left="400"/>
              <w:spacing w:after="0"/>
              <w:rPr>
                <w:sz w:val="20"/>
                <w:szCs w:val="20"/>
                <w:color w:val="auto"/>
              </w:rPr>
            </w:pPr>
            <w:r>
              <w:rPr>
                <w:rFonts w:ascii="Arial" w:cs="Arial" w:eastAsia="Arial" w:hAnsi="Arial"/>
                <w:sz w:val="18"/>
                <w:szCs w:val="18"/>
                <w:color w:val="auto"/>
              </w:rPr>
              <w:t>Basic and diluted—as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(0.16)</w:t>
            </w:r>
          </w:p>
        </w:tc>
      </w:tr>
      <w:tr>
        <w:trPr>
          <w:trHeight w:val="216"/>
        </w:trPr>
        <w:tc>
          <w:tcPr>
            <w:tcW w:w="9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and diluted—pro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363"/>
        </w:trPr>
        <w:tc>
          <w:tcPr>
            <w:tcW w:w="9840" w:type="dxa"/>
            <w:vAlign w:val="bottom"/>
          </w:tcPr>
          <w:p>
            <w:pPr>
              <w:ind w:left="56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-737870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-737870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-737870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-737870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-737870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-737870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appearing elsewhere in this Form 10-Q and in our Form 10-K for the year ended December 31, 2002.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Among the important factors which could cause actual results to differ materially include: the potential for significant losses to continue; inability to accurately predict revenue and budget for expenses for future periods; fluctuations in revenue and operating results; a slowing global economy, particularly in the primary markets served by our products, and continued decreases and/or delays in capital spending; limited product lines; inability to expand and integrate new distribution channels; inability to manage new and existing product distribution relationships; our current dependence on our relationship with Caterpillar; competition; delays in research and development; inability to increase product sales; inventory risks;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 The discussion below addresses some of these factors. Additional risks and uncertainties that we are unaware of or that we currently deem immaterial also may become important factors that affect us.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92" w:lineRule="auto"/>
        <w:rPr>
          <w:sz w:val="20"/>
          <w:szCs w:val="20"/>
          <w:color w:val="auto"/>
        </w:rPr>
      </w:pPr>
      <w:r>
        <w:rPr>
          <w:rFonts w:ascii="Arial" w:cs="Arial" w:eastAsia="Arial" w:hAnsi="Arial"/>
          <w:sz w:val="15"/>
          <w:szCs w:val="15"/>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Leveraging our expertise in this technology we have developed a battery-free uninterruptible power supply (UPS). We sell our UPS through Caterpillar under the Caterpillar brand name, Cat</w:t>
      </w:r>
      <w:r>
        <w:rPr>
          <w:rFonts w:ascii="Arial" w:cs="Arial" w:eastAsia="Arial" w:hAnsi="Arial"/>
          <w:sz w:val="19"/>
          <w:szCs w:val="19"/>
          <w:color w:val="auto"/>
          <w:vertAlign w:val="superscript"/>
        </w:rPr>
        <w:t>®</w:t>
      </w:r>
      <w:r>
        <w:rPr>
          <w:rFonts w:ascii="Arial" w:cs="Arial" w:eastAsia="Arial" w:hAnsi="Arial"/>
          <w:sz w:val="15"/>
          <w:szCs w:val="15"/>
          <w:color w:val="auto"/>
        </w:rPr>
        <w:t xml:space="preserve"> UPS, as well as directly to end users through manufacturing representatives under the brand name CleanSource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UPS. We have also developed a battery-free DC system that is compatible with all major UPS brands, CleanSource2 DC. The CleanSource2 DC can replace lead-acid batteries in a conventional UPS system, or complement the batteries and increase their life cycle. We sell our CleanSource2 DC products primarily through Powerware, one of the leading global suppliers of UPS systems, for whom we are an original equipment manufacturer, or OEM. We sell and distribute all of our products through a variety of channels including our existing OEMs and through independent power quality representatives to maximize market coverage and penetration. Our products are sold for use in the facilities of companies across many different industries that all share a critical need for reliable, high-quality power, such as broadcasters, hospitals, plastic manufacturers, semiconductor manufacturers, pharmaceutical manufacturers, data centers and electric utilities. Sales have been spread across many different countries from all regions of the world.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1996, we have focused our efforts and financial resources primarily on the design and development of our CleanSource line of power quality products and on establishing effective distribution channels to market our products. As of March 31, 2003, we had generated an accumulated deficit of $114.6 million and expect to continue to sustain operating losses for the next several quarters. Prior to our initial public offering, we funded our operations primarily through sales of shares of our preferred stock, which have resulted in gross proceeds of approximately $42.6 million. Based on the current spending levels and expectations in our current business plan, we believe the proceeds from our August 2000 initial public offering, approximately $138.4 million net of commissions and issuance costs, cash balances on hand prior to August 2000, and cash from product revenue and development contracts will be sufficient to meet our capital requirements through at least the next 24 months. Our cash and investments position at March 31, 2003 was $84.7 million.</w:t>
      </w:r>
    </w:p>
    <w:p>
      <w:pPr>
        <w:spacing w:after="0" w:line="10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Since our inception, a small number of customers have accounted for the majority of our annual sales. In 2002, 2001 and 2000, our business level with Caterpillar and its dealer network accounted for 81%, 87% and 96%, respectively, of our revenue. In 2002, sales to Powerware constituted 12% of our total revenue. We expect to continue to be dependent on a few OEM customers, primarily Caterpillar, for the majority of our sales at least through 2003.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preparation of financial statements and accompanying notes in conformity with generally accepted accounting principles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 We also have other policies that we consider to be key accounting policies, such as our policies for revenue recognition; however, these policies do not meet the definition of critical accounting estimates because they do not generally require us to make estimates or judgments that are difficult or subjective.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Because to date we have sold to a limited number of large customers (e.g., Caterpillar and Powerware), credit losses have been minimal.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state inventories at the lower of cost or market. If actual future demand or market conditions are less favorable than those projected by management, or if product design changes result in excess or obsolete components beyond current expectations, additional inventory write-downs may be required. We evaluate our inventory reserves on a quarterly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 In 2003 we began reporting warranty expense in Cost of Goods Sold to emphasize the importance of product quality on overall product costs. Prior to 2003 product warranty costs were accounted for in Sales, General and Administrative expense, and have been reclassified to conform to the current year presentation.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Marketing Programs Accrual</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engaged in a marketing program with Caterpillar aimed at increasing the number of dedicated UPS salespeople employed by the Caterpillar dealers. As part of that program, we have agreed, under certain circumstances, to offset some of the first-year expenses of this program. We estimate our liabilities under this program and accrue based on our expected payout. We continually monitor the progress of the program, and based on the success of the dedicated UPS salespeople our actual payments may differ from our estimates.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Results of Operations</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Product revenue. </w:t>
      </w:r>
      <w:r>
        <w:rPr>
          <w:rFonts w:ascii="Arial" w:cs="Arial" w:eastAsia="Arial" w:hAnsi="Arial"/>
          <w:sz w:val="16"/>
          <w:szCs w:val="16"/>
          <w:color w:val="auto"/>
        </w:rPr>
        <w:t>Product revenue primarily consists of sales of our CleanSource line of power quality products. Sales decreased $1.5 million, or 48%,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$1.6 million for the three months ended March 31, 2003, from $3.1 million for the three months ended March 31, 2002. For the three months ended March 31, 2003 we sold 23 quarter-megawatt flywheel units compared to 54 units for the same period in 2002. We believe the decrease in revenue and units shipped was primarily attributable to continuing reductions in the market for capital equipment, including power quality equipment, due in large part to the overall economic slowdown that has persisted in the United States and globally. The average selling price of our base products has remained relatively flat the last several quarters, but can vary depending on product mix and the level of add-on options purchased by the customer. Our international sales increased to approximately 50% of product revenues for the three months ended March 31, 2002, compared to approximately 35% in the same period last year, due to an extension of our sales coverage into new regions of Europe and North Africa.</w:t>
      </w:r>
    </w:p>
    <w:p>
      <w:pPr>
        <w:spacing w:after="0" w:line="10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During the first nine months of 2001 we benefited from several inventory-stocking orders by two Caterpillar dealers of approximately 145 units, or $7.5 million. Since the third quarter of 2001, substantially all of our sales have been to our OEM customers for specifically identified end users. We believe the number of units in inventory stock at our OEM customers has begun to decline at a moderate rate. Although Active Power has no obligations to its OEM customers for the inventory that they hold, a significant reduction in our OEM customers’ inventory stocking levels could displace future sales.</w:t>
      </w:r>
    </w:p>
    <w:p>
      <w:pPr>
        <w:spacing w:after="0" w:line="99"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Development contract revenue. </w:t>
      </w:r>
      <w:r>
        <w:rPr>
          <w:rFonts w:ascii="Arial" w:cs="Arial" w:eastAsia="Arial" w:hAnsi="Arial"/>
          <w:sz w:val="18"/>
          <w:szCs w:val="18"/>
          <w:color w:val="auto"/>
        </w:rPr>
        <w:t>Development contract revenue consists of funding paid to us by Caterpillar. In 1999 we entered into an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Caterpillar to develop the Cat UPS. As part of that agreement Caterpillar provided us with $5.0 million in funding for the successful completion of several development milestones. In September 2001 we signed an extension to our development agreement with Caterpillar to expand the Cat UPS product line. The extension called for an additional $5.0 million in funding upon successful completion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certain development milestones. Between December 2001 and December 2002 we completed all five milestones and collected and booked $5.0 million of development funding. Although we continue to pursue partnership opportunities that can broaden our channels to market and assist our product development efforts, we had no development contract revenue in the quarter ended March 31, 2003, compared with $1.0 million in the three months ended March 31, 2002. We currently do not have, nor do we anticipate, any agreements that will provide development funding.</w:t>
      </w:r>
    </w:p>
    <w:p>
      <w:pPr>
        <w:spacing w:after="0" w:line="99"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product warranty beginning in 2003, other costs associated with our assembly and test operations, shipping costs, and the costs of manufacturing support functions such as procurement, logistics and quality assurance. Cost of product revenue decreased approximately $1.3 million, or 28%, to $3.3 million for the three months ended March 31, 2003, from $4.6 million for the three months ended March 31, 2002. This decrease was primarily due to the lower sales in</w:t>
      </w:r>
    </w:p>
    <w:p>
      <w:pPr>
        <w:spacing w:after="0" w:line="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2003 compared to the same period of 2002. During 2001, we significantly expanded our manufacturing capacity by increasing our manufacturing facilities, in anticipation of future demand for our products. This has increased our fixed manufacturing expense base, which will adversely impact our gross margins until production volumes increase enough to cover the added costs of this increased manufacturing capacity. While our variable product margin (sales less materials, direct labor and warranty expense) was positive in the first three months of 2003, our overall product margin was negative due, in large part, to the underutilization of our indirect manufacturing costs. Over time, we believe gross margins should improve if we can increase product volume, thereby achieving greater economies of scale in production and in purchasing component parts, and introduce additional engineering design savings. We have also taken steps to reduce manufacturing staffing and spending levels given current market and business conditions and manufacturing efficiencies. We believe these efforts, such as the reductions in manufacturing staffing levels in April 2003, should result in additional product margin improvements in the second half of 2003.</w:t>
      </w:r>
    </w:p>
    <w:p>
      <w:pPr>
        <w:spacing w:after="0" w:line="11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Cost of development contract. </w:t>
      </w:r>
      <w:r>
        <w:rPr>
          <w:rFonts w:ascii="Arial" w:cs="Arial" w:eastAsia="Arial" w:hAnsi="Arial"/>
          <w:sz w:val="18"/>
          <w:szCs w:val="18"/>
          <w:color w:val="auto"/>
        </w:rPr>
        <w:t>Cost of development contract primarily consists of engineering expenses incurred related to the joint development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Caterpillar, through which we receive development funding. Because we have no development contract at this time, we had no development funding, nor did we have any corresponding cost of development contract expenses during the three months ended March 31, 2003, compared to $741,000 in the three months ended March 31, 2002.</w:t>
      </w:r>
    </w:p>
    <w:p>
      <w:pPr>
        <w:spacing w:after="0" w:line="13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Research and development expense primarily consists of compensation and related costs of employees engaged in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and engineering activities, third party consulting and development activities, as well as an allocated portion of our occupancy costs. Research and development expense decreased approximately $70,000, or 3%, to $2.5 million for the three months ended March 31, 2003, from $2.6 million for the three months ended March 31, 2002. The decrease in research and development expense was primarily driven by a reduction in development spending on our new 1200 kVA high power UPS product line extension as we near the completion of its development. Over time we expect a shift in our development efforts from our high power 1200 kVA UPS to lower power, extended runtime products will further reduce our project related cost and, in turn, lower our R&amp;D spending levels.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is primarily comprised of compensation and related costs for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marketing and administrative personnel, selling and marketing expenses, professional fees, and for bad debt costs and reserves. Selling, general and administrative expense decreased approximately $342,000, or 11%, to $2.7 million for the three months ended March 31, 2003, from $3.0 million for the three months ended March 31, 2002. The decrease in selling, general and administrative expense was principally due to a reduction in personnel. We believe that selling, general and administrative expense will remain relatively flat over the next several quarters, but should decrease as a percent of sales as future sales growth occurs. Savings associated with recent staffing reductions should be offset by increases in directors and officers insurance premiums and higher channel support costs associated with establishing and maintaining a new distribution channel, including increased marketing promotions, trade show expenditures, sales and service personnel training.</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Subsequent event. </w:t>
      </w:r>
      <w:r>
        <w:rPr>
          <w:rFonts w:ascii="Arial" w:cs="Arial" w:eastAsia="Arial" w:hAnsi="Arial"/>
          <w:sz w:val="16"/>
          <w:szCs w:val="16"/>
          <w:color w:val="auto"/>
        </w:rPr>
        <w:t>As part of our overall efforts to lower expenses and cash consumption, on April 22, 2003, the Company reduced its workforce by 42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full-time employees. This action will lower our annual costs by approximately $3 million. We expect to incur approximately $500,000 in severance and out-placement costs associated with this reduction in Q2. The reduction impacted all areas of the Company’s operations, with the majority of reductions coming from our manufacturing department to adjust for current economic conditions, sales levels, and manufacturing efficiency gains. As part of this reduction, the Company consolidated its sales and marketing operations under Sriram Sivaram, who will become Vice President of Sales and Marketing. Our current Vice President of Sales, Jim Balthazar, will transition out of his position and leave the Company to pursue other interests.</w:t>
      </w:r>
    </w:p>
    <w:p>
      <w:pPr>
        <w:spacing w:after="0" w:line="10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b w:val="1"/>
          <w:bCs w:val="1"/>
          <w:i w:val="1"/>
          <w:iCs w:val="1"/>
          <w:color w:val="auto"/>
        </w:rPr>
        <w:t xml:space="preserve">Amortization of deferred stock compensation. </w:t>
      </w:r>
      <w:r>
        <w:rPr>
          <w:rFonts w:ascii="Arial" w:cs="Arial" w:eastAsia="Arial" w:hAnsi="Arial"/>
          <w:sz w:val="15"/>
          <w:szCs w:val="15"/>
          <w:color w:val="auto"/>
        </w:rPr>
        <w:t>Deferred stock compensation is a non-cash expense that reflects the difference between the exercise price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$33,000 for the three months ended March 31, 2003 and $628,000 for the three months ended March 31, 2002. The amortization expense has been reduced significantly in recent quarters as the options for which we are amortizing this expense become fully vested and as other employees to whom these options were granted leave the company and unvested options accordingly are canceled. We expect this amortization expense to continue to decrease in the future as the same trends continue.</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$286,000, or 32%, to $619,000 for the three months ended March 31, 2003, from $905,000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2002. This decrease is attributable to two factors. First, there was a decrease in our average cash and investments balance to $87.4 million for the three-month period of 2003, compared to an average cash and investments balance of $105.1 million for the same three-month period of 2002. Second, the average rate of return on our investments dropped from 3.10% in the first quarter of 2002 to 2.76% in the first quarter in 2003, as interest rates in the financial markets have declined over the past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principal source of liquidity as of March 31, 2003 consisted of approximately $84.7 million of cash, cash equivalents and investments in marketable securities. We have primarily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funded our operations from the proceeds of our initial public offering in August 2000, $138.4 million net of underwriting discounts and issuance costs, sales of shares of our preferred stock, which have resulted in gross proceeds of approximately $42.6 million, as well as $10 million in development funding received from Caterpillar since 1999, and our product revenue. Cash used in operating activities in the first three months of 2003 was $4.9 million, a $3.8 million decrease from the $8.7 million used in the first three months of 2002. The cash usage in 2002 and 2003 was principally focused on product development of our higher power product platform, the expansion and product cost reductions of our existing UPS product line, and the funding of manufacturing operations and sales and marketing activities to support current revenue and position us for future sales growth. The decrease in cash used year over year is primarily attributable to a significant decrease in accounts payable.</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Capital expenditures in the first three months of 2003 were approximately $591,000, a $469,000 increase from the $122,000 used in the first three months of 2002. In the first three months of 2003 our expenditures were principally for the completion of the leasehold improvements to adapt a portion of our manufacturing facility to support the consolidation of our manufacturing, sales, marketing, information technology, and administrative functions into one facility. Our expenditures in the first three months of 2002 were limited to leasehold improvements to our engineering testing facilities and other general computer equipment and software for administrative purposes. We expect to spend $0.5 to $1.0 million during the remainder of 2003 to enable the consolidation of our engineering and advanced development facilities, as well as to add additional engineering lab equipment, demonstration units, and general computer equipment and software for general corporate purposes.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our existing cash and investments balance at March 31, 2003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No. 146 requires companies to recognize costs associated with exit or disposal activities when they are incurred rather than at the date of commitment to an exit or disposal plan. This statement is effective for exit or disposal activities initiated after December 31, 2002. We do not believe that the adoption of SFAS No. 146 will have a material impact on our financial statements.</w:t>
      </w:r>
    </w:p>
    <w:p>
      <w:pPr>
        <w:spacing w:after="0" w:line="13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December 2002, FASB issued SFAS No. 148, “ACCOUNTING FOR STOCK-BASED COMPENSATION—TRANSITION AND DISCLOSURE, AN AMENDMENT OF FASB STATEMENT NO. 123.” This Statement amends FASB Statement No. 123, “ACCOUNTING FOR STOCK-BASED COMPENSATION,” to provide alternative methods of transition for an entity that voluntarily changes to the fair value based method of accounting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stock-based employee compensation. It also amends the disclosure provisions of Statement No. 123 to require prominent disclosure about the effects on reported net income of an entity’s accounting policy decisions with respect to stock-based employee compensation. Finally, Statement No. 148 amends APB Opinion No. 28, “INTERIM FINANCIAL REPORTING,” to require disclosure about those effects in interim financial information. Since we are continuing to account for stock-based compensation using the intrinsic value method under APB 25, our adoption of SFAS No. 148 requires us to provide prominent disclosures about the effects of FAS 123 on reported income in our annual and interim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instruments. We believe that our investment policy is conservative, both in terms of the average maturity of investments that we allow and in terms of the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quality of the investments we hold. We estimate that a 1% decrease in market interest rates would decrease our annual interest income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$900,000. Because of the short-term nature of the majority of our investments, we do not believe a 1% decline in interest rates would have a material effect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their fair value.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83"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i w:val="1"/>
          <w:iCs w:val="1"/>
          <w:color w:val="auto"/>
        </w:rPr>
        <w:t>In addition to the other information in this Form 10-Q, the following factors should be considered in evaluating Active Power and our business. These factors include, but are not limited to, the potential for significant losses to continue; inability to accurately predict revenue and budget for expenses for future periods; fluctuations in revenue and operating results; a weak global economy, particularly in the primary markets served by our products, and continued decreases and/or delays in capital spending; limited product lines; inability to expand and integrate new distribution channels; inability to manage new and existing product distribution relationships; our current dependence on our relationship with Caterpillar; competition; delays in research and development; inability to increase product sales; inventory risks;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 The discussion below addresses some of these factors. Additional risks and uncertainties that we are unaware of or that we currently deem immaterial also may become important factors that affect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the next several quarters.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the next several quarters. As of March 31, 2003, we had an accumulated deficit of $114.6 million. To date, we have funded our operations principally through the sale of our stock, our product revenue and $10.0 million in development funding payments from Caterpillar. 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product revenue, and, as a result, we expect to continue to incur losses for the next several quarters.</w:t>
      </w:r>
    </w:p>
    <w:p>
      <w:pPr>
        <w:spacing w:after="0" w:line="96"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have generated a total of $39.5 million in product revenue since January 1, 1998, with approximately $1.6 million generated in the first three months of 2003.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If our revenue does not increase as anticipated, we will continue to incur significant losses.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fluctuations in operating results, which could negatively impact the price of our stock.</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37" w:lineRule="exact"/>
        <w:rPr>
          <w:sz w:val="20"/>
          <w:szCs w:val="20"/>
          <w:color w:val="auto"/>
        </w:rPr>
      </w:pPr>
    </w:p>
    <w:p>
      <w:pPr>
        <w:ind w:left="760" w:hanging="30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orders from our customers and the possibility that these customers may change their order requirements with little or no advance notice to us;</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103" w:lineRule="exact"/>
        <w:rPr>
          <w:rFonts w:ascii="Arial" w:cs="Arial" w:eastAsia="Arial" w:hAnsi="Arial"/>
          <w:sz w:val="18"/>
          <w:szCs w:val="18"/>
          <w:color w:val="auto"/>
        </w:rPr>
      </w:pPr>
    </w:p>
    <w:p>
      <w:pPr>
        <w:ind w:left="760" w:right="200" w:hanging="30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CleanSource2 DC products, as well as our other products which are currently under development; and</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growth of the markets for our products.</w:t>
      </w:r>
    </w:p>
    <w:p>
      <w:pPr>
        <w:spacing w:after="0" w:line="179" w:lineRule="exact"/>
        <w:rPr>
          <w:sz w:val="20"/>
          <w:szCs w:val="20"/>
          <w:color w:val="auto"/>
        </w:rPr>
      </w:pPr>
    </w:p>
    <w:p>
      <w:pPr>
        <w:ind w:right="200"/>
        <w:spacing w:after="0" w:line="329" w:lineRule="auto"/>
        <w:rPr>
          <w:sz w:val="20"/>
          <w:szCs w:val="20"/>
          <w:color w:val="auto"/>
        </w:rPr>
      </w:pPr>
      <w:r>
        <w:rPr>
          <w:rFonts w:ascii="Arial" w:cs="Arial" w:eastAsia="Arial" w:hAnsi="Arial"/>
          <w:sz w:val="16"/>
          <w:szCs w:val="16"/>
          <w:b w:val="1"/>
          <w:bCs w:val="1"/>
          <w:color w:val="auto"/>
        </w:rPr>
        <w:t>We have a substantial amount of product held as inventory by two members of the Caterpillar dealer network. If other Caterpillar dealers were to fill their orders for Cat UPS products from that dealer network inventory instead of our factory, our revenue will suffer.</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first nine months of 2001, we sold several large UPS systems to two Caterpillar dealers, of which many have remained in those dealers’ inventories rather than be sold to end user customers. If the other Caterpillar dealers were to fill their Cat UPS orders through this dealer inventory, as opposed to placing orders with Active Power, our revenue will suffer for the next several fiscal quarters. Moreover, failure to replenish the existing inventory of the Caterpillar dealer network could also negatively impact our revenue.</w:t>
      </w:r>
    </w:p>
    <w:p>
      <w:pPr>
        <w:spacing w:after="0" w:line="124" w:lineRule="exact"/>
        <w:rPr>
          <w:sz w:val="20"/>
          <w:szCs w:val="20"/>
          <w:color w:val="auto"/>
        </w:rPr>
      </w:pPr>
    </w:p>
    <w:p>
      <w:pPr>
        <w:ind w:right="160"/>
        <w:spacing w:after="0" w:line="351" w:lineRule="auto"/>
        <w:rPr>
          <w:sz w:val="20"/>
          <w:szCs w:val="20"/>
          <w:color w:val="auto"/>
        </w:rPr>
      </w:pPr>
      <w:r>
        <w:rPr>
          <w:rFonts w:ascii="Arial" w:cs="Arial" w:eastAsia="Arial" w:hAnsi="Arial"/>
          <w:sz w:val="15"/>
          <w:szCs w:val="15"/>
          <w:b w:val="1"/>
          <w:bCs w:val="1"/>
          <w:color w:val="auto"/>
        </w:rPr>
        <w:t>Our business is dependent on the market for power quality products and the health of the overall economy, and if this market does not expand as we anticipate, if alternatives to our products are successful, or if the downturn in the economy continues to limit capital spending, our business will suffer.</w:t>
      </w:r>
    </w:p>
    <w:p>
      <w:pPr>
        <w:spacing w:after="0" w:line="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may be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has suffered significantly during the recent economic slowdown, and will continue to suffer if the slowdown continues.</w:t>
      </w:r>
    </w:p>
    <w:p>
      <w:pPr>
        <w:spacing w:after="0" w:line="9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operating results can vary significantly based upon the impact of global economic conditions on our customers. More specifically, the macroeconomic environment and capital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spending has continued to decline, exacerbated by uncertainty surrounding recent world events, and is more uncertain than in recent periods and has the potential to further materially and adversely affect us. The operating results of our business depend on the overall demand for power quality products. Because our sales are primarily to major corporate customers whose businesses fluctuate with general economic and business conditions, a softening of demand for power quality products caused by a weakening economy has resulted in decreased revenues. We may be especially prone to this as a result of the relatively high percentage of revenue we have historically derived from the high-tech industry, which appears to have been more significantly adversely impacted by the current weak economic environment. Customers may defer or reconsider purchasing our products if they continue to experience a lack of growth in their business or if the general economy fails to significantly improve.</w:t>
      </w:r>
    </w:p>
    <w:p>
      <w:pPr>
        <w:spacing w:after="0" w:line="9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 grow our revenue, we must develop and introduce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extended runtime products. Even if we are able to develop and commercially introduce new products and enhancements, they may not achieve market acceptance, which would substantially impair our revenue, profitability and overall financial prospects.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Powerware, and our new manufacturer’s representatives could impede our future growth.</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could suffer.</w:t>
      </w:r>
    </w:p>
    <w:p>
      <w:pPr>
        <w:spacing w:after="0" w:line="3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could suffer. During 2002, 2001 and 2000, our business level with Caterpillar and its dealer network accounted for 81%, 87% and 96% of our product revenue, respectively. Pursuant to the distribution agreement with Caterpillar, they are the exclusive distributor, subject to limited exceptions, of our CleanSource UPS product. Caterpillar is not obligated to purchase any CleanSource UPS units. Through December 31, 2002,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 entities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 We also have a distribution agreement with Caterpillar.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2001 we expanded our manufacturing facility based on anticipated sales volume increases. If we do not achieve these forecasted sales volumes, we will underutilize our manufacturing capacity and our business will suffer.</w:t>
      </w:r>
    </w:p>
    <w:p>
      <w:pPr>
        <w:spacing w:after="0" w:line="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spread out its associated overhead, we must achieve significantly higher sales volumes. We have been unsuccessful at increasing our sales volume following our facility expansion and we may never increase our sales volume to necessary levels. If we do not reach these sales volume levels, or if we cannot sell our products at our suggested prices, our ability to reach profitability will be materially limited.</w:t>
      </w:r>
    </w:p>
    <w:p>
      <w:pPr>
        <w:spacing w:after="0" w:line="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and CleanSource UPS product lines could significantly affect the market’s perception of our technology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then a customer could suffer a significant loss and seek to hold us responsible for that loss.</w:t>
      </w:r>
    </w:p>
    <w:p>
      <w:pPr>
        <w:spacing w:after="0" w:line="9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3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To assure the availability of our products to our customers, we outsource the manufacturing of components prior to the receipt of purchase orders from customers based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2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result in delays. Manufacturing delays could negatively impact our ability to sell our products and could damage our customer relationships.</w:t>
      </w:r>
    </w:p>
    <w:p>
      <w:pPr>
        <w:spacing w:after="0" w:line="10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There is a limited supply of skilled employees in the power quality marketplace. The decline in our stock price has resulted in a substantial number of “underwater” options, which may cause certain of our employees to seek employment elsewhere as a result of this decreased financial incentive. In April 2003, we reduced our workforce throughout all departments of the Company.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recent years, there has been significant litigation in the United States involving patents, trademarks and other intellectual property rights. For example, we were recently named in a lawsuit, along with Joe Pinkerton, our chairman and chief executive officer, alleging the misappropriation of trade secrets that we describe in further detail in “Legal Proceedings” in Item 3 of Part I below. We may become involved in additional litigation in the future to protect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intellectual property or defend allegations of infringement asserted by others. Legal proceedings, including the current lawsuit in which we are named as a defendant,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49" w:lineRule="exact"/>
        <w:rPr>
          <w:sz w:val="20"/>
          <w:szCs w:val="20"/>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103"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we are not currently negotiating any material business or technology acquisitions, as part of our growth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49" w:lineRule="exact"/>
        <w:rPr>
          <w:sz w:val="20"/>
          <w:szCs w:val="20"/>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83" w:lineRule="exact"/>
        <w:rPr>
          <w:sz w:val="20"/>
          <w:szCs w:val="20"/>
          <w:color w:val="auto"/>
        </w:rPr>
      </w:pPr>
    </w:p>
    <w:p>
      <w:pPr>
        <w:ind w:firstLine="456"/>
        <w:spacing w:after="0" w:line="347" w:lineRule="auto"/>
        <w:rPr>
          <w:sz w:val="20"/>
          <w:szCs w:val="20"/>
          <w:color w:val="auto"/>
        </w:rPr>
      </w:pPr>
      <w:r>
        <w:rPr>
          <w:rFonts w:ascii="Arial" w:cs="Arial" w:eastAsia="Arial" w:hAnsi="Arial"/>
          <w:sz w:val="15"/>
          <w:szCs w:val="15"/>
          <w:color w:val="auto"/>
        </w:rPr>
        <w:t>From January 1, 2001 through March 31, 2003, the market price of our common stock has fluctuated between $0.98 and $31.50 per share. The market price of our common stock can be expected to fluctuate significantly in response to numerous factors, some of which are beyond our control, including the following:</w:t>
      </w:r>
    </w:p>
    <w:p>
      <w:pPr>
        <w:spacing w:after="0" w:line="1" w:lineRule="exact"/>
        <w:rPr>
          <w:sz w:val="20"/>
          <w:szCs w:val="20"/>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03" w:lineRule="exact"/>
        <w:rPr>
          <w:rFonts w:ascii="Arial" w:cs="Arial" w:eastAsia="Arial" w:hAnsi="Arial"/>
          <w:sz w:val="18"/>
          <w:szCs w:val="18"/>
          <w:color w:val="auto"/>
        </w:rPr>
      </w:pPr>
    </w:p>
    <w:p>
      <w:pPr>
        <w:ind w:left="760" w:right="1040" w:hanging="306"/>
        <w:spacing w:after="0" w:line="26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expand our distribution channels;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information is included in the section captioned “Quantitative and Qualitative Disclosures About Market Risk” in Item 2.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performed an evaluation under the supervision and with the participation of our management, including our CEO and CFO, of the effectiveness of the design and operation of our disclosure controls and procedures. Based on their evaluation, Active Power’s Chief Executive Officer and Chief Financial Officer have concluded the Company’s disclosure controls and procedures (as defined in Rules 13a-14 and 15d-14 under the Securities Exchange Act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1934) are effective as of March 31, 2003 (a date within 90 days of the filing of this Quarterly Report on Form 10-Q).</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significant changes in our internal controls or other factors that could significantly affect internal controls subsequent to March 31, 2003, including any corrective actions with regard to significant deficiencies and material weaknesses.</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240" w:top="459" w:right="5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March 25, 2002, we, along with Joseph F. Pinkerton, III, our chairman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 We were served with the Original Complaint and Amended Complaint on April 19, 2002.</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January 2003, Active Power and the other defendants sought the removal of this case to the United States District Court for the Eastern District of Michigan. After a hearing on April 16, 2003, the judge remanded the case back to Michigan state court in the Circuit Court for the County of Wayne. The parties are scheduled to meet for non-binding mediation in Detroit in May 2003. This proceeding is in the discovery phase, and we are therefore unable to determine the ultimate outcome of this claim at this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83"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During the fiscal first quarter of 2003, we issued an aggregate of 36,108 shares of our common stock pursuant to exercises of stock options that were granted prior to August 7, 2000 with exercise prices ranging from $0.16 to $0.56 per share. These issuances were deemed exempt from registration under Section 5 of the Securities Act of 1933 in reliance upon Rule 701 thereunder and appropriate legends were affixed to the share certificates issued in each such transaction.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ind w:right="9340"/>
        <w:spacing w:after="0"/>
        <w:rPr>
          <w:sz w:val="20"/>
          <w:szCs w:val="20"/>
          <w:color w:val="auto"/>
        </w:rPr>
      </w:pPr>
      <w:r>
        <w:rPr>
          <w:rFonts w:ascii="Arial" w:cs="Arial" w:eastAsia="Arial" w:hAnsi="Arial"/>
          <w:sz w:val="16"/>
          <w:szCs w:val="16"/>
          <w:b w:val="1"/>
          <w:bCs w:val="1"/>
          <w:color w:val="auto"/>
        </w:rPr>
        <w:t>Item 5. Other Information.</w:t>
      </w:r>
    </w:p>
    <w:p>
      <w:pPr>
        <w:spacing w:after="0" w:line="106" w:lineRule="exact"/>
        <w:rPr>
          <w:sz w:val="20"/>
          <w:szCs w:val="20"/>
          <w:color w:val="auto"/>
        </w:rPr>
      </w:pPr>
    </w:p>
    <w:p>
      <w:pPr>
        <w:jc w:val="center"/>
        <w:ind w:right="93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tem 6. Exhibits and Reports on Form 8-K.</w:t>
      </w:r>
    </w:p>
    <w:p>
      <w:pPr>
        <w:spacing w:after="0" w:line="83"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40"/>
        <w:spacing w:after="0"/>
        <w:tabs>
          <w:tab w:leader="none" w:pos="1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Certification of Chief Executive Officer pursuant to Section 906 of Sarbanes-Oxley Act of 2002</w:t>
      </w:r>
    </w:p>
    <w:p>
      <w:pPr>
        <w:spacing w:after="0" w:line="77" w:lineRule="exact"/>
        <w:rPr>
          <w:sz w:val="20"/>
          <w:szCs w:val="20"/>
          <w:color w:val="auto"/>
        </w:rPr>
      </w:pPr>
    </w:p>
    <w:p>
      <w:pPr>
        <w:ind w:left="940"/>
        <w:spacing w:after="0"/>
        <w:tabs>
          <w:tab w:leader="none" w:pos="15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Certification of Chief Financial Officer pursuant to Section 906 of Sarbanes-Oxley Act of 2002</w:t>
      </w:r>
    </w:p>
    <w:p>
      <w:pPr>
        <w:spacing w:after="0" w:line="158" w:lineRule="exact"/>
        <w:rPr>
          <w:sz w:val="20"/>
          <w:szCs w:val="20"/>
          <w:color w:val="auto"/>
        </w:rPr>
      </w:pPr>
    </w:p>
    <w:p>
      <w:pPr>
        <w:ind w:left="5620" w:right="1739" w:hanging="5166"/>
        <w:spacing w:after="0" w:line="440" w:lineRule="auto"/>
        <w:tabs>
          <w:tab w:leader="none" w:pos="893"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fiscal quarter ended March 31, 2003, Active Power did not file any current reports on Form 8-K. 24</w:t>
      </w:r>
    </w:p>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12"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Joseph F. Pinkerton, III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-65405</wp:posOffset>
            </wp:positionV>
            <wp:extent cx="3404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7320" w:right="1320" w:hanging="7307"/>
        <w:spacing w:after="0" w:line="281" w:lineRule="auto"/>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Joseph F. Pinkerton, III Chairman of the Board, President and</w:t>
      </w:r>
    </w:p>
    <w:p>
      <w:pPr>
        <w:spacing w:after="0" w:line="1"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David S. Gino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-65405</wp:posOffset>
            </wp:positionV>
            <wp:extent cx="3404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20"/>
        <w:spacing w:after="0"/>
        <w:tabs>
          <w:tab w:leader="none" w:pos="8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David S. Gino</w:t>
      </w:r>
    </w:p>
    <w:p>
      <w:pPr>
        <w:spacing w:after="0" w:line="9" w:lineRule="exact"/>
        <w:rPr>
          <w:sz w:val="20"/>
          <w:szCs w:val="20"/>
          <w:color w:val="auto"/>
        </w:rPr>
      </w:pPr>
    </w:p>
    <w:p>
      <w:pPr>
        <w:jc w:val="center"/>
        <w:ind w:left="5880"/>
        <w:spacing w:after="0"/>
        <w:rPr>
          <w:sz w:val="20"/>
          <w:szCs w:val="20"/>
          <w:color w:val="auto"/>
        </w:rPr>
      </w:pPr>
      <w:r>
        <w:rPr>
          <w:rFonts w:ascii="Arial" w:cs="Arial" w:eastAsia="Arial" w:hAnsi="Arial"/>
          <w:sz w:val="16"/>
          <w:szCs w:val="16"/>
          <w:color w:val="auto"/>
        </w:rPr>
        <w:t>Chief Operating Officer, Vice President of Finance, Chief Financial Officer</w:t>
      </w:r>
    </w:p>
    <w:p>
      <w:pPr>
        <w:spacing w:after="0" w:line="32"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and Secretary</w:t>
      </w:r>
    </w:p>
    <w:p>
      <w:pPr>
        <w:spacing w:after="0" w:line="9"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(Principal Accounting Officer)</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Joseph F. Pinkerton III, President and Chief Executive Officer of Active Power, Inc., certify that:</w:t>
      </w:r>
    </w:p>
    <w:p>
      <w:pPr>
        <w:spacing w:after="0" w:line="15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 (the “Registrant”);</w:t>
      </w:r>
    </w:p>
    <w:p>
      <w:pPr>
        <w:spacing w:after="0" w:line="157"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900" w:right="420" w:hanging="446"/>
        <w:spacing w:after="0" w:line="325"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900" w:right="8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900" w:right="340" w:hanging="446"/>
        <w:spacing w:after="0" w:line="325"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right="20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4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Dated: April 24,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589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Joseph F. Pinkerton,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S. Gino, Vice President, Chief Operating Officer and Chief Financial Officer of Active Power, Inc., certify that:</w:t>
      </w:r>
    </w:p>
    <w:p>
      <w:pPr>
        <w:spacing w:after="0" w:line="15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 (the “Registrant”);</w:t>
      </w:r>
    </w:p>
    <w:p>
      <w:pPr>
        <w:spacing w:after="0" w:line="157"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900" w:right="420" w:hanging="446"/>
        <w:spacing w:after="0" w:line="325"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900" w:right="8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900" w:right="340" w:hanging="446"/>
        <w:spacing w:after="0" w:line="325"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right="2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there were significant changes in internal controls or in other factors that could significantly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affect internal controls subsequent to the date of our most recent evaluation, including any corrective actions with regard to significant deficiencies and material weaknesses.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24,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3595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59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S. Gino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99.1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2003, as filed with the Securities and Exchange Commission on the date hereof (the “Report”), I, Joseph F. Pinkerton, III, Chairman of the Board, President and Chief Executive Officer of the Company, certify, pursuant to 18 U.S.C. Section 1350, as adopted pursuant to Section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1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80010</wp:posOffset>
            </wp:positionV>
            <wp:extent cx="21183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Chairman of the Board, President and Chief</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April 24, 2003</w:t>
      </w:r>
    </w:p>
    <w:p>
      <w:pPr>
        <w:sectPr>
          <w:pgSz w:w="11900" w:h="16838" w:orient="portrait"/>
          <w:cols w:equalWidth="0" w:num="1">
            <w:col w:w="11420"/>
          </w:cols>
          <w:pgMar w:left="240" w:top="2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99.2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 connection with the Quarterly Report of Active Power, Inc. (the “Company”) on Form 10-Q for the period ending March 31, 2003 as filed with the Securities and Exchange Commission on the date hereof (the “Report”), I, David S. Gino, Chief Financial Officer of the Company, certify, pursuant to 18 U.S.C.ss. 1350, as adopted pursuant to ss. 906 of the Sarbanes-Oxley Act of 2002, that, to my knowledge:</w:t>
      </w:r>
    </w:p>
    <w:p>
      <w:pPr>
        <w:spacing w:after="0" w:line="1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1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80010</wp:posOffset>
            </wp:positionV>
            <wp:extent cx="21183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Vice President, Chief Operating Officer and Chief</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April 24, 2003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2019-12-14T18:17:44Z</dcterms:created>
  <dcterms:modified xsi:type="dcterms:W3CDTF">2019-12-14T18:17:44Z</dcterms:modified>
</cp:coreProperties>
</file>