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5</w:t>
      </w:r>
    </w:p>
    <w:p>
      <w:pPr>
        <w:spacing w:after="0" w:line="47" w:lineRule="exact"/>
        <w:rPr>
          <w:sz w:val="24"/>
          <w:szCs w:val="24"/>
          <w:color w:val="auto"/>
        </w:rPr>
      </w:pPr>
    </w:p>
    <w:p>
      <w:pPr>
        <w:jc w:val="center"/>
        <w:ind w:left="140"/>
        <w:spacing w:after="0"/>
        <w:rPr>
          <w:sz w:val="20"/>
          <w:szCs w:val="20"/>
          <w:color w:val="auto"/>
        </w:rPr>
      </w:pPr>
      <w:r>
        <w:rPr>
          <w:rFonts w:ascii="Arial" w:cs="Arial" w:eastAsia="Arial" w:hAnsi="Arial"/>
          <w:sz w:val="23"/>
          <w:szCs w:val="23"/>
          <w:b w:val="1"/>
          <w:bCs w:val="1"/>
          <w:color w:val="auto"/>
        </w:rPr>
        <w:t>FORM 5</w:t>
      </w:r>
    </w:p>
    <w:p>
      <w:pPr>
        <w:spacing w:after="0" w:line="115"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53340</wp:posOffset>
            </wp:positionV>
            <wp:extent cx="128270" cy="128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90"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95250</wp:posOffset>
            </wp:positionV>
            <wp:extent cx="128270"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156"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4 Transactions Reported.</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220"/>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4088765</wp:posOffset>
            </wp:positionH>
            <wp:positionV relativeFrom="paragraph">
              <wp:posOffset>-36195</wp:posOffset>
            </wp:positionV>
            <wp:extent cx="133921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9215" cy="626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60" w:type="dxa"/>
            <w:vAlign w:val="bottom"/>
          </w:tcPr>
          <w:p>
            <w:pPr>
              <w:jc w:val="center"/>
              <w:ind w:right="27"/>
              <w:spacing w:after="0"/>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18"/>
                <w:szCs w:val="18"/>
                <w:color w:val="auto"/>
              </w:rPr>
            </w:pPr>
          </w:p>
        </w:tc>
        <w:tc>
          <w:tcPr>
            <w:tcW w:w="2000" w:type="dxa"/>
            <w:vAlign w:val="bottom"/>
            <w:tcBorders>
              <w:top w:val="single" w:sz="8" w:color="2C2C2C"/>
              <w:bottom w:val="single" w:sz="8" w:color="808080"/>
            </w:tcBorders>
            <w:gridSpan w:val="2"/>
          </w:tcPr>
          <w:p>
            <w:pPr>
              <w:ind w:left="340"/>
              <w:spacing w:after="0"/>
              <w:rPr>
                <w:sz w:val="20"/>
                <w:szCs w:val="20"/>
                <w:color w:val="auto"/>
              </w:rPr>
            </w:pPr>
            <w:r>
              <w:rPr>
                <w:rFonts w:ascii="Arial" w:cs="Arial" w:eastAsia="Arial" w:hAnsi="Arial"/>
                <w:sz w:val="16"/>
                <w:szCs w:val="16"/>
                <w:color w:val="auto"/>
              </w:rPr>
              <w:t>OMB APPROVAL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60" w:type="dxa"/>
            <w:vAlign w:val="bottom"/>
            <w:vMerge w:val="restart"/>
          </w:tcPr>
          <w:p>
            <w:pPr>
              <w:jc w:val="center"/>
              <w:ind w:right="47"/>
              <w:spacing w:after="0"/>
              <w:rPr>
                <w:sz w:val="20"/>
                <w:szCs w:val="20"/>
                <w:color w:val="auto"/>
              </w:rPr>
            </w:pPr>
            <w:r>
              <w:rPr>
                <w:rFonts w:ascii="Arial" w:cs="Arial" w:eastAsia="Arial" w:hAnsi="Arial"/>
                <w:sz w:val="20"/>
                <w:szCs w:val="20"/>
                <w:b w:val="1"/>
                <w:bCs w:val="1"/>
                <w:color w:val="auto"/>
              </w:rPr>
              <w:t>ANNUAL STATEMENT OF CHANGES IN BENEFICIAL OWNERSHIP</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3235-0362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64"/>
        </w:trPr>
        <w:tc>
          <w:tcPr>
            <w:tcW w:w="6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460" w:type="dxa"/>
            <w:vAlign w:val="bottom"/>
            <w:vMerge w:val="restart"/>
          </w:tcPr>
          <w:p>
            <w:pPr>
              <w:jc w:val="center"/>
              <w:ind w:right="27"/>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6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6460" w:type="dxa"/>
            <w:vAlign w:val="bottom"/>
          </w:tcPr>
          <w:p>
            <w:pPr>
              <w:jc w:val="center"/>
              <w:ind w:right="27"/>
              <w:spacing w:after="0"/>
              <w:rPr>
                <w:sz w:val="20"/>
                <w:szCs w:val="20"/>
                <w:color w:val="auto"/>
              </w:rPr>
            </w:pPr>
            <w:r>
              <w:rPr>
                <w:rFonts w:ascii="Arial" w:cs="Arial" w:eastAsia="Arial" w:hAnsi="Arial"/>
                <w:sz w:val="13"/>
                <w:szCs w:val="13"/>
                <w:color w:val="auto"/>
                <w:w w:val="97"/>
              </w:rPr>
              <w:t>or Section 30(h) of the Investment Company Act of 1940</w:t>
            </w: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-1535430</wp:posOffset>
            </wp:positionH>
            <wp:positionV relativeFrom="paragraph">
              <wp:posOffset>57785</wp:posOffset>
            </wp:positionV>
            <wp:extent cx="7047865" cy="440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00550"/>
                    </a:xfrm>
                    <a:prstGeom prst="rect">
                      <a:avLst/>
                    </a:prstGeom>
                    <a:noFill/>
                  </pic:spPr>
                </pic:pic>
              </a:graphicData>
            </a:graphic>
          </wp:anchor>
        </w:drawing>
      </w:r>
    </w:p>
    <w:p>
      <w:pPr>
        <w:spacing w:after="0" w:line="151" w:lineRule="exact"/>
        <w:rPr>
          <w:sz w:val="24"/>
          <w:szCs w:val="24"/>
          <w:color w:val="auto"/>
        </w:rPr>
      </w:pPr>
    </w:p>
    <w:p>
      <w:pPr>
        <w:sectPr>
          <w:pgSz w:w="11900" w:h="16838" w:orient="portrait"/>
          <w:cols w:equalWidth="0" w:num="2">
            <w:col w:w="2220" w:space="180"/>
            <w:col w:w="868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Gehl Jeff Patrick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 P10, INC.</w:t>
            </w:r>
          </w:p>
        </w:tc>
        <w:tc>
          <w:tcPr>
            <w:tcW w:w="13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20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TX</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75205</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3820" w:type="dxa"/>
            <w:vAlign w:val="bottom"/>
            <w:gridSpan w:val="4"/>
          </w:tcPr>
          <w:p>
            <w:pPr>
              <w:ind w:left="60"/>
              <w:spacing w:after="0" w:line="20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P10,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1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180" w:type="dxa"/>
            <w:vAlign w:val="bottom"/>
          </w:tcPr>
          <w:p>
            <w:pPr>
              <w:ind w:left="6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30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4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180" w:type="dxa"/>
            <w:vAlign w:val="bottom"/>
            <w:vMerge w:val="restart"/>
          </w:tcPr>
          <w:p>
            <w:pPr>
              <w:ind w:left="6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0000FF"/>
              </w:rPr>
              <w:t>See Remarks</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12/31/2022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0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ind w:left="80"/>
              <w:spacing w:after="0"/>
              <w:rPr>
                <w:sz w:val="20"/>
                <w:szCs w:val="20"/>
                <w:color w:val="auto"/>
              </w:rPr>
            </w:pPr>
            <w:r>
              <w:rPr>
                <w:rFonts w:ascii="Arial" w:cs="Arial" w:eastAsia="Arial" w:hAnsi="Arial"/>
                <w:sz w:val="11"/>
                <w:szCs w:val="11"/>
                <w:b w:val="1"/>
                <w:bCs w:val="1"/>
                <w:color w:val="auto"/>
              </w:rPr>
              <w:t>1. Title of Security (Instr. 3)</w:t>
            </w: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4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 and 5)</w:t>
            </w: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 or</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Owned at end of</w:t>
            </w:r>
          </w:p>
        </w:tc>
        <w:tc>
          <w:tcPr>
            <w:tcW w:w="9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Indirect (I)</w:t>
            </w:r>
          </w:p>
        </w:tc>
        <w:tc>
          <w:tcPr>
            <w:tcW w:w="9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9"/>
        </w:trPr>
        <w:tc>
          <w:tcPr>
            <w:tcW w:w="2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 or</w:t>
            </w: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Issuer's Fiscal</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(Instr. 4)</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vMerge w:val="continue"/>
          </w:tcPr>
          <w:p>
            <w:pPr>
              <w:spacing w:after="0"/>
              <w:rPr>
                <w:sz w:val="5"/>
                <w:szCs w:val="5"/>
                <w:color w:val="auto"/>
              </w:rPr>
            </w:pPr>
          </w:p>
        </w:tc>
        <w:tc>
          <w:tcPr>
            <w:tcW w:w="9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Year (Instr. 3 and</w:t>
            </w: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1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 the Jeff</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restart"/>
          </w:tcPr>
          <w:p>
            <w:pPr>
              <w:ind w:left="300"/>
              <w:spacing w:after="0" w:line="202" w:lineRule="exact"/>
              <w:rPr>
                <w:sz w:val="20"/>
                <w:szCs w:val="20"/>
                <w:color w:val="auto"/>
              </w:rPr>
            </w:pPr>
            <w:r>
              <w:rPr>
                <w:rFonts w:ascii="Times New Roman" w:cs="Times New Roman" w:eastAsia="Times New Roman" w:hAnsi="Times New Roman"/>
                <w:sz w:val="23"/>
                <w:szCs w:val="23"/>
                <w:color w:val="0000FF"/>
                <w:vertAlign w:val="subscript"/>
              </w:rPr>
              <w:t>G</w:t>
            </w:r>
            <w:r>
              <w:rPr>
                <w:rFonts w:ascii="Times New Roman" w:cs="Times New Roman" w:eastAsia="Times New Roman" w:hAnsi="Times New Roman"/>
                <w:sz w:val="10"/>
                <w:szCs w:val="10"/>
                <w:color w:val="008000"/>
              </w:rPr>
              <w:t>(3)</w:t>
            </w:r>
          </w:p>
        </w:tc>
        <w:tc>
          <w:tcPr>
            <w:tcW w:w="960" w:type="dxa"/>
            <w:vAlign w:val="bottom"/>
            <w:vMerge w:val="restart"/>
          </w:tcPr>
          <w:p>
            <w:pPr>
              <w:ind w:left="360"/>
              <w:spacing w:after="0" w:line="202" w:lineRule="exact"/>
              <w:rPr>
                <w:sz w:val="20"/>
                <w:szCs w:val="20"/>
                <w:color w:val="auto"/>
              </w:rPr>
            </w:pPr>
            <w:r>
              <w:rPr>
                <w:rFonts w:ascii="Times New Roman" w:cs="Times New Roman" w:eastAsia="Times New Roman" w:hAnsi="Times New Roman"/>
                <w:sz w:val="13"/>
                <w:szCs w:val="13"/>
                <w:color w:val="0000FF"/>
                <w:w w:val="98"/>
              </w:rPr>
              <w:t>750,000</w:t>
            </w:r>
            <w:r>
              <w:rPr>
                <w:rFonts w:ascii="Times New Roman" w:cs="Times New Roman" w:eastAsia="Times New Roman" w:hAnsi="Times New Roman"/>
                <w:sz w:val="21"/>
                <w:szCs w:val="21"/>
                <w:color w:val="008000"/>
                <w:w w:val="98"/>
                <w:vertAlign w:val="superscript"/>
              </w:rPr>
              <w:t>(3)</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continue"/>
          </w:tcPr>
          <w:p>
            <w:pPr>
              <w:spacing w:after="0"/>
              <w:rPr>
                <w:sz w:val="5"/>
                <w:szCs w:val="5"/>
                <w:color w:val="auto"/>
              </w:rPr>
            </w:pPr>
          </w:p>
        </w:tc>
        <w:tc>
          <w:tcPr>
            <w:tcW w:w="6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3"/>
                <w:szCs w:val="13"/>
                <w:color w:val="0000FF"/>
                <w:w w:val="98"/>
              </w:rPr>
              <w:t>750,000</w:t>
            </w:r>
            <w:r>
              <w:rPr>
                <w:rFonts w:ascii="Times New Roman" w:cs="Times New Roman" w:eastAsia="Times New Roman" w:hAnsi="Times New Roman"/>
                <w:sz w:val="21"/>
                <w:szCs w:val="21"/>
                <w:color w:val="008000"/>
                <w:w w:val="98"/>
                <w:vertAlign w:val="superscript"/>
              </w:rPr>
              <w:t>(3)</w:t>
            </w:r>
          </w:p>
        </w:tc>
        <w:tc>
          <w:tcPr>
            <w:tcW w:w="680" w:type="dxa"/>
            <w:vAlign w:val="bottom"/>
            <w:vMerge w:val="restart"/>
          </w:tcPr>
          <w:p>
            <w:pPr>
              <w:ind w:left="140"/>
              <w:spacing w:after="0" w:line="2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r>
              <w:rPr>
                <w:rFonts w:ascii="Times New Roman" w:cs="Times New Roman" w:eastAsia="Times New Roman" w:hAnsi="Times New Roman"/>
                <w:sz w:val="21"/>
                <w:szCs w:val="21"/>
                <w:color w:val="008000"/>
                <w:vertAlign w:val="superscript"/>
              </w:rPr>
              <w:t>(3)</w:t>
            </w:r>
          </w:p>
        </w:tc>
        <w:tc>
          <w:tcPr>
            <w:tcW w:w="900" w:type="dxa"/>
            <w:vAlign w:val="bottom"/>
          </w:tcPr>
          <w:p>
            <w:pPr>
              <w:spacing w:after="0"/>
              <w:rPr>
                <w:sz w:val="5"/>
                <w:szCs w:val="5"/>
                <w:color w:val="auto"/>
              </w:rPr>
            </w:pPr>
          </w:p>
        </w:tc>
        <w:tc>
          <w:tcPr>
            <w:tcW w:w="720" w:type="dxa"/>
            <w:vAlign w:val="bottom"/>
            <w:vMerge w:val="restart"/>
          </w:tcPr>
          <w:p>
            <w:pPr>
              <w:ind w:left="280"/>
              <w:spacing w:after="0" w:line="202"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(4)</w:t>
            </w: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P. Gehl</w:t>
            </w:r>
          </w:p>
        </w:tc>
        <w:tc>
          <w:tcPr>
            <w:tcW w:w="0" w:type="dxa"/>
            <w:vAlign w:val="bottom"/>
          </w:tcPr>
          <w:p>
            <w:pPr>
              <w:spacing w:after="0"/>
              <w:rPr>
                <w:sz w:val="1"/>
                <w:szCs w:val="1"/>
                <w:color w:val="auto"/>
              </w:rPr>
            </w:pPr>
          </w:p>
        </w:tc>
      </w:tr>
      <w:tr>
        <w:trPr>
          <w:trHeight w:val="76"/>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12/27/2022</w:t>
            </w: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3,011,939</w:t>
            </w: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40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1" w:lineRule="exact"/>
        <w:rPr>
          <w:rFonts w:ascii="Times New Roman" w:cs="Times New Roman" w:eastAsia="Times New Roman" w:hAnsi="Times New Roman"/>
          <w:sz w:val="13"/>
          <w:szCs w:val="13"/>
          <w:color w:val="008000"/>
        </w:rPr>
      </w:pPr>
    </w:p>
    <w:p>
      <w:pPr>
        <w:ind w:left="40" w:right="18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5" w:lineRule="exact"/>
        <w:rPr>
          <w:rFonts w:ascii="Times New Roman" w:cs="Times New Roman" w:eastAsia="Times New Roman" w:hAnsi="Times New Roman"/>
          <w:sz w:val="13"/>
          <w:szCs w:val="13"/>
          <w:color w:val="008000"/>
        </w:rPr>
      </w:pPr>
    </w:p>
    <w:p>
      <w:pPr>
        <w:ind w:left="40" w:right="4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27, 2022, the Reporting Person gifted 750,000 shares of Class B Common Stock of the Issuer to a charitable foundation, which automatically converted into 750,000 shares of Class A Common Stock of the Issuer upon such transfer in accordance with the terms of the Charter.</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Jeff P. Gehl Living Trust. The Reporting Person disclaims beneficial ownership of these securities except to the extent of his pecuniary interest therein.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Head of Marketing &amp; Distribution</w:t>
      </w:r>
    </w:p>
    <w:p>
      <w:pPr>
        <w:spacing w:after="0" w:line="6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-3810</wp:posOffset>
            </wp:positionV>
            <wp:extent cx="983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the</w:t>
      </w:r>
      <w:r>
        <w:rPr>
          <w:sz w:val="20"/>
          <w:szCs w:val="20"/>
          <w:color w:val="auto"/>
        </w:rPr>
        <w:tab/>
      </w:r>
      <w:r>
        <w:rPr>
          <w:rFonts w:ascii="Times New Roman" w:cs="Times New Roman" w:eastAsia="Times New Roman" w:hAnsi="Times New Roman"/>
          <w:sz w:val="16"/>
          <w:szCs w:val="16"/>
          <w:color w:val="0000FF"/>
        </w:rPr>
        <w:t>01/20/2023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868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726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552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2023-01-25T18:53:24Z</dcterms:created>
  <dcterms:modified xsi:type="dcterms:W3CDTF">2023-01-25T18:53:24Z</dcterms:modified>
</cp:coreProperties>
</file>