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2927350</wp:posOffset>
            </wp:positionH>
            <wp:positionV relativeFrom="paragraph">
              <wp:posOffset>156845</wp:posOffset>
            </wp:positionV>
            <wp:extent cx="140208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208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 the quarterly period ended June 30, 2002</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5" w:lineRule="exact"/>
        <w:rPr>
          <w:sz w:val="24"/>
          <w:szCs w:val="24"/>
          <w:color w:val="auto"/>
        </w:rPr>
      </w:pPr>
    </w:p>
    <w:p>
      <w:pPr>
        <w:spacing w:after="0"/>
        <w:tabs>
          <w:tab w:leader="none" w:pos="612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-13970</wp:posOffset>
            </wp:positionV>
            <wp:extent cx="4333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33875" cy="8890"/>
                    </a:xfrm>
                    <a:prstGeom prst="rect">
                      <a:avLst/>
                    </a:prstGeom>
                    <a:noFill/>
                  </pic:spPr>
                </pic:pic>
              </a:graphicData>
            </a:graphic>
          </wp:anchor>
        </w:drawing>
      </w:r>
    </w:p>
    <w:p>
      <w:pPr>
        <w:spacing w:after="0" w:line="11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1525905</wp:posOffset>
            </wp:positionH>
            <wp:positionV relativeFrom="paragraph">
              <wp:posOffset>-13970</wp:posOffset>
            </wp:positionV>
            <wp:extent cx="4631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03"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5080" w:type="dxa"/>
            <w:vAlign w:val="bottom"/>
          </w:tcPr>
          <w:p>
            <w:pPr>
              <w:jc w:val="center"/>
              <w:ind w:right="1462"/>
              <w:spacing w:after="0"/>
              <w:rPr>
                <w:sz w:val="20"/>
                <w:szCs w:val="20"/>
                <w:color w:val="auto"/>
              </w:rPr>
            </w:pPr>
            <w:r>
              <w:rPr>
                <w:rFonts w:ascii="Arial" w:cs="Arial" w:eastAsia="Arial" w:hAnsi="Arial"/>
                <w:sz w:val="18"/>
                <w:szCs w:val="18"/>
                <w:b w:val="1"/>
                <w:bCs w:val="1"/>
                <w:color w:val="auto"/>
                <w:w w:val="88"/>
              </w:rPr>
              <w:t>Delaware</w:t>
            </w:r>
          </w:p>
        </w:tc>
        <w:tc>
          <w:tcPr>
            <w:tcW w:w="3600" w:type="dxa"/>
            <w:vAlign w:val="bottom"/>
          </w:tcPr>
          <w:p>
            <w:pPr>
              <w:jc w:val="right"/>
              <w:ind w:right="542"/>
              <w:spacing w:after="0"/>
              <w:rPr>
                <w:sz w:val="20"/>
                <w:szCs w:val="20"/>
                <w:color w:val="auto"/>
              </w:rPr>
            </w:pPr>
            <w:r>
              <w:rPr>
                <w:rFonts w:ascii="Arial" w:cs="Arial" w:eastAsia="Arial" w:hAnsi="Arial"/>
                <w:sz w:val="18"/>
                <w:szCs w:val="18"/>
                <w:b w:val="1"/>
                <w:bCs w:val="1"/>
                <w:color w:val="auto"/>
              </w:rPr>
              <w:t>74-2961657</w:t>
            </w:r>
          </w:p>
        </w:tc>
      </w:tr>
      <w:tr>
        <w:trPr>
          <w:trHeight w:val="174"/>
        </w:trPr>
        <w:tc>
          <w:tcPr>
            <w:tcW w:w="5080" w:type="dxa"/>
            <w:vAlign w:val="bottom"/>
          </w:tcPr>
          <w:p>
            <w:pPr>
              <w:jc w:val="center"/>
              <w:ind w:right="1462"/>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600" w:type="dxa"/>
            <w:vAlign w:val="bottom"/>
          </w:tcPr>
          <w:p>
            <w:pPr>
              <w:jc w:val="center"/>
              <w:ind w:left="14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9"/>
        </w:trPr>
        <w:tc>
          <w:tcPr>
            <w:tcW w:w="5080" w:type="dxa"/>
            <w:vAlign w:val="bottom"/>
          </w:tcPr>
          <w:p>
            <w:pPr>
              <w:jc w:val="center"/>
              <w:ind w:right="1462"/>
              <w:spacing w:after="0"/>
              <w:rPr>
                <w:sz w:val="20"/>
                <w:szCs w:val="20"/>
                <w:color w:val="auto"/>
              </w:rPr>
            </w:pPr>
            <w:r>
              <w:rPr>
                <w:rFonts w:ascii="Arial" w:cs="Arial" w:eastAsia="Arial" w:hAnsi="Arial"/>
                <w:sz w:val="18"/>
                <w:szCs w:val="18"/>
                <w:b w:val="1"/>
                <w:bCs w:val="1"/>
                <w:color w:val="auto"/>
                <w:w w:val="86"/>
              </w:rPr>
              <w:t>11525 Stonehollow Dr., Suite 110, Austin, Texas</w:t>
            </w:r>
          </w:p>
        </w:tc>
        <w:tc>
          <w:tcPr>
            <w:tcW w:w="3600" w:type="dxa"/>
            <w:vAlign w:val="bottom"/>
          </w:tcPr>
          <w:p>
            <w:pPr>
              <w:jc w:val="right"/>
              <w:ind w:right="742"/>
              <w:spacing w:after="0"/>
              <w:rPr>
                <w:sz w:val="20"/>
                <w:szCs w:val="20"/>
                <w:color w:val="auto"/>
              </w:rPr>
            </w:pPr>
            <w:r>
              <w:rPr>
                <w:rFonts w:ascii="Arial" w:cs="Arial" w:eastAsia="Arial" w:hAnsi="Arial"/>
                <w:sz w:val="18"/>
                <w:szCs w:val="18"/>
                <w:b w:val="1"/>
                <w:bCs w:val="1"/>
                <w:color w:val="auto"/>
              </w:rPr>
              <w:t>78758</w:t>
            </w:r>
          </w:p>
        </w:tc>
      </w:tr>
      <w:tr>
        <w:trPr>
          <w:trHeight w:val="174"/>
        </w:trPr>
        <w:tc>
          <w:tcPr>
            <w:tcW w:w="5080" w:type="dxa"/>
            <w:vAlign w:val="bottom"/>
          </w:tcPr>
          <w:p>
            <w:pPr>
              <w:jc w:val="center"/>
              <w:ind w:right="14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600" w:type="dxa"/>
            <w:vAlign w:val="bottom"/>
          </w:tcPr>
          <w:p>
            <w:pPr>
              <w:jc w:val="center"/>
              <w:ind w:left="1462"/>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334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Sections 13 or</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15(d) of the Securities Exchange Act of 1934 during the preceding 12 months (or for such shorter period that the registrant was required to file such reports), and</w:t>
      </w:r>
    </w:p>
    <w:p>
      <w:pPr>
        <w:spacing w:after="0" w:line="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w:t>
      </w:r>
      <w:r>
        <w:rPr>
          <w:rFonts w:ascii="MS PGothic" w:cs="MS PGothic" w:eastAsia="MS PGothic" w:hAnsi="MS PGothic"/>
          <w:sz w:val="18"/>
          <w:szCs w:val="18"/>
          <w:color w:val="auto"/>
        </w:rPr>
        <w:t>☐</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practicable date.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number of shares of common stock outstanding as of June 30, 2002 was 41,258,243 with a par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value of $.001 per share.</w:t>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80" w:type="dxa"/>
            <w:vAlign w:val="bottom"/>
            <w:gridSpan w:val="3"/>
          </w:tcPr>
          <w:p>
            <w:pPr>
              <w:jc w:val="center"/>
              <w:ind w:right="2380"/>
              <w:spacing w:after="0"/>
              <w:rPr>
                <w:sz w:val="20"/>
                <w:szCs w:val="20"/>
                <w:color w:val="auto"/>
              </w:rPr>
            </w:pPr>
            <w:r>
              <w:rPr>
                <w:rFonts w:ascii="Arial" w:cs="Arial" w:eastAsia="Arial" w:hAnsi="Arial"/>
                <w:sz w:val="18"/>
                <w:szCs w:val="18"/>
                <w:b w:val="1"/>
                <w:bCs w:val="1"/>
                <w:color w:val="auto"/>
                <w:w w:val="99"/>
              </w:rPr>
              <w:t>ACTIVE POWER, INC.</w:t>
            </w:r>
          </w:p>
        </w:tc>
        <w:tc>
          <w:tcPr>
            <w:tcW w:w="2320" w:type="dxa"/>
            <w:vAlign w:val="bottom"/>
          </w:tcPr>
          <w:p>
            <w:pPr>
              <w:spacing w:after="0"/>
              <w:rPr>
                <w:sz w:val="18"/>
                <w:szCs w:val="18"/>
                <w:color w:val="auto"/>
              </w:rPr>
            </w:pPr>
          </w:p>
        </w:tc>
      </w:tr>
      <w:tr>
        <w:trPr>
          <w:trHeight w:val="228"/>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2"/>
          </w:tcPr>
          <w:p>
            <w:pPr>
              <w:jc w:val="center"/>
              <w:ind w:right="2600"/>
              <w:spacing w:after="0"/>
              <w:rPr>
                <w:sz w:val="20"/>
                <w:szCs w:val="20"/>
                <w:color w:val="auto"/>
              </w:rPr>
            </w:pPr>
            <w:r>
              <w:rPr>
                <w:rFonts w:ascii="Arial" w:cs="Arial" w:eastAsia="Arial" w:hAnsi="Arial"/>
                <w:sz w:val="18"/>
                <w:szCs w:val="18"/>
                <w:b w:val="1"/>
                <w:bCs w:val="1"/>
                <w:color w:val="auto"/>
              </w:rPr>
              <w:t>INDEX</w:t>
            </w:r>
          </w:p>
        </w:tc>
        <w:tc>
          <w:tcPr>
            <w:tcW w:w="2320" w:type="dxa"/>
            <w:vAlign w:val="bottom"/>
          </w:tcPr>
          <w:p>
            <w:pPr>
              <w:spacing w:after="0"/>
              <w:rPr>
                <w:sz w:val="19"/>
                <w:szCs w:val="19"/>
                <w:color w:val="auto"/>
              </w:rPr>
            </w:pPr>
          </w:p>
        </w:tc>
      </w:tr>
      <w:tr>
        <w:trPr>
          <w:trHeight w:val="326"/>
        </w:trPr>
        <w:tc>
          <w:tcPr>
            <w:tcW w:w="290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I—FINANCIAL INFORMATION</w:t>
              </w:r>
            </w:hyperlink>
          </w:p>
        </w:tc>
        <w:tc>
          <w:tcPr>
            <w:tcW w:w="6180" w:type="dxa"/>
            <w:vAlign w:val="bottom"/>
            <w:gridSpan w:val="11"/>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560" w:type="dxa"/>
            <w:vAlign w:val="bottom"/>
            <w:tcBorders>
              <w:bottom w:val="single" w:sz="8" w:color="0000EE"/>
            </w:tcBorders>
            <w:gridSpan w:val="2"/>
          </w:tcPr>
          <w:p>
            <w:pPr>
              <w:ind w:left="80"/>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6940" w:type="dxa"/>
            <w:vAlign w:val="bottom"/>
            <w:gridSpan w:val="15"/>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0" w:type="dxa"/>
            <w:vAlign w:val="bottom"/>
          </w:tcPr>
          <w:p>
            <w:pPr>
              <w:spacing w:after="0"/>
              <w:rPr>
                <w:sz w:val="17"/>
                <w:szCs w:val="17"/>
                <w:color w:val="auto"/>
              </w:rPr>
            </w:pPr>
          </w:p>
        </w:tc>
        <w:tc>
          <w:tcPr>
            <w:tcW w:w="86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BALANCE SHEETS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5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STATEMENTS OF OPERATIONS</w:t>
              </w:r>
            </w:hyperlink>
          </w:p>
        </w:tc>
        <w:tc>
          <w:tcPr>
            <w:tcW w:w="6120" w:type="dxa"/>
            <w:vAlign w:val="bottom"/>
            <w:gridSpan w:val="9"/>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25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STATEMENTS OF CASH FLOWS</w:t>
              </w:r>
            </w:hyperlink>
          </w:p>
        </w:tc>
        <w:tc>
          <w:tcPr>
            <w:tcW w:w="6100" w:type="dxa"/>
            <w:vAlign w:val="bottom"/>
            <w:gridSpan w:val="8"/>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21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Financial Statements</w:t>
              </w:r>
            </w:hyperlink>
          </w:p>
        </w:tc>
        <w:tc>
          <w:tcPr>
            <w:tcW w:w="6520" w:type="dxa"/>
            <w:vAlign w:val="bottom"/>
            <w:gridSpan w:val="14"/>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08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Item 2.  Management's Discussion and Analysis of Financial Condition and Results of Operations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0" w:type="dxa"/>
            <w:vAlign w:val="bottom"/>
            <w:tcBorders>
              <w:top w:val="single" w:sz="8" w:color="0000EE"/>
            </w:tcBorders>
          </w:tcPr>
          <w:p>
            <w:pPr>
              <w:spacing w:after="0"/>
              <w:rPr>
                <w:sz w:val="17"/>
                <w:szCs w:val="17"/>
                <w:color w:val="auto"/>
              </w:rPr>
            </w:pPr>
          </w:p>
        </w:tc>
        <w:tc>
          <w:tcPr>
            <w:tcW w:w="2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Liquidity and Capital Resources</w:t>
              </w:r>
            </w:hyperlink>
          </w:p>
        </w:tc>
        <w:tc>
          <w:tcPr>
            <w:tcW w:w="4220" w:type="dxa"/>
            <w:vAlign w:val="bottom"/>
            <w:tcBorders>
              <w:top w:val="single" w:sz="8" w:color="0000EE"/>
            </w:tcBorders>
            <w:gridSpan w:val="11"/>
          </w:tcPr>
          <w:p>
            <w:pPr>
              <w:spacing w:after="0"/>
              <w:rPr>
                <w:sz w:val="17"/>
                <w:szCs w:val="17"/>
                <w:color w:val="auto"/>
              </w:rPr>
            </w:pPr>
          </w:p>
        </w:tc>
        <w:tc>
          <w:tcPr>
            <w:tcW w:w="2140" w:type="dxa"/>
            <w:vAlign w:val="bottom"/>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8640" w:type="dxa"/>
            <w:vAlign w:val="bottom"/>
            <w:gridSpan w:val="1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Quantitative and Qualitative Disclosures About Market Risk</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 That May Affect Future Results</w:t>
              </w:r>
            </w:hyperlink>
          </w:p>
        </w:tc>
        <w:tc>
          <w:tcPr>
            <w:tcW w:w="1080" w:type="dxa"/>
            <w:vAlign w:val="bottom"/>
            <w:tcBorders>
              <w:top w:val="single" w:sz="8" w:color="0000EE"/>
            </w:tcBorders>
            <w:gridSpan w:val="3"/>
          </w:tcPr>
          <w:p>
            <w:pPr>
              <w:spacing w:after="0"/>
              <w:rPr>
                <w:sz w:val="17"/>
                <w:szCs w:val="17"/>
                <w:color w:val="auto"/>
              </w:rPr>
            </w:pPr>
          </w:p>
        </w:tc>
        <w:tc>
          <w:tcPr>
            <w:tcW w:w="4380" w:type="dxa"/>
            <w:vAlign w:val="bottom"/>
            <w:gridSpan w:val="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9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Item 3.  Quantitative and Qualitative Disclosures About Market Risk</w:t>
              </w:r>
            </w:hyperlink>
          </w:p>
        </w:tc>
        <w:tc>
          <w:tcPr>
            <w:tcW w:w="4160" w:type="dxa"/>
            <w:vAlign w:val="bottom"/>
            <w:gridSpan w:val="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345"/>
        </w:trPr>
        <w:tc>
          <w:tcPr>
            <w:tcW w:w="908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II—OTHER INFORMATION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96"/>
        </w:trPr>
        <w:tc>
          <w:tcPr>
            <w:tcW w:w="5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1.</w:t>
              </w:r>
            </w:hyperlink>
          </w:p>
        </w:tc>
        <w:tc>
          <w:tcPr>
            <w:tcW w:w="2000" w:type="dxa"/>
            <w:vAlign w:val="bottom"/>
            <w:tcBorders>
              <w:top w:val="single" w:sz="8" w:color="0000EE"/>
            </w:tcBorders>
            <w:gridSpan w:val="4"/>
          </w:tcPr>
          <w:p>
            <w:pPr>
              <w:ind w:left="8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6500" w:type="dxa"/>
            <w:vAlign w:val="bottom"/>
            <w:gridSpan w:val="1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94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08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  Changes in Securities and Use of Proceeds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3.  Defaults Upon Senior Securities</w:t>
              </w:r>
            </w:hyperlink>
          </w:p>
        </w:tc>
        <w:tc>
          <w:tcPr>
            <w:tcW w:w="720" w:type="dxa"/>
            <w:vAlign w:val="bottom"/>
            <w:tcBorders>
              <w:top w:val="single" w:sz="8" w:color="0000EE"/>
            </w:tcBorders>
            <w:gridSpan w:val="5"/>
          </w:tcPr>
          <w:p>
            <w:pPr>
              <w:spacing w:after="0"/>
              <w:rPr>
                <w:sz w:val="17"/>
                <w:szCs w:val="17"/>
                <w:color w:val="auto"/>
              </w:rPr>
            </w:pPr>
          </w:p>
        </w:tc>
        <w:tc>
          <w:tcPr>
            <w:tcW w:w="5420" w:type="dxa"/>
            <w:vAlign w:val="bottom"/>
            <w:gridSpan w:val="5"/>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3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4.  Submission of Matters to a Vote of Security Holders</w:t>
              </w:r>
            </w:hyperlink>
          </w:p>
        </w:tc>
        <w:tc>
          <w:tcPr>
            <w:tcW w:w="4740" w:type="dxa"/>
            <w:vAlign w:val="bottom"/>
            <w:gridSpan w:val="4"/>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5.</w:t>
              </w:r>
            </w:hyperlink>
          </w:p>
        </w:tc>
        <w:tc>
          <w:tcPr>
            <w:tcW w:w="8500" w:type="dxa"/>
            <w:vAlign w:val="bottom"/>
            <w:gridSpan w:val="17"/>
          </w:tcPr>
          <w:p>
            <w:pPr>
              <w:ind w:left="8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580" w:type="dxa"/>
            <w:vAlign w:val="bottom"/>
            <w:gridSpan w:val="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8500" w:type="dxa"/>
            <w:vAlign w:val="bottom"/>
            <w:gridSpan w:val="17"/>
          </w:tcPr>
          <w:p>
            <w:pPr>
              <w:ind w:left="8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Exhibits and Reports on Form 8-K.</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89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June 30,</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4"/>
        </w:trPr>
        <w:tc>
          <w:tcPr>
            <w:tcW w:w="96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590" w:type="dxa"/>
            <w:vAlign w:val="bottom"/>
          </w:tcPr>
          <w:p>
            <w:pPr>
              <w:jc w:val="right"/>
              <w:ind w:right="135"/>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6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96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70" w:type="dxa"/>
            <w:vAlign w:val="bottom"/>
          </w:tcPr>
          <w:p>
            <w:pPr>
              <w:spacing w:after="0"/>
              <w:rPr>
                <w:sz w:val="23"/>
                <w:szCs w:val="23"/>
                <w:color w:val="auto"/>
              </w:rPr>
            </w:pPr>
          </w:p>
        </w:tc>
        <w:tc>
          <w:tcPr>
            <w:tcW w:w="173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1"/>
        </w:trPr>
        <w:tc>
          <w:tcPr>
            <w:tcW w:w="9620" w:type="dxa"/>
            <w:vAlign w:val="bottom"/>
            <w:vMerge w:val="continue"/>
          </w:tcPr>
          <w:p>
            <w:pPr>
              <w:spacing w:after="0"/>
              <w:rPr>
                <w:sz w:val="17"/>
                <w:szCs w:val="17"/>
                <w:color w:val="auto"/>
              </w:rPr>
            </w:pPr>
          </w:p>
        </w:tc>
        <w:tc>
          <w:tcPr>
            <w:tcW w:w="70" w:type="dxa"/>
            <w:vAlign w:val="bottom"/>
          </w:tcPr>
          <w:p>
            <w:pPr>
              <w:spacing w:after="0"/>
              <w:rPr>
                <w:sz w:val="17"/>
                <w:szCs w:val="17"/>
                <w:color w:val="auto"/>
              </w:rPr>
            </w:pPr>
          </w:p>
        </w:tc>
        <w:tc>
          <w:tcPr>
            <w:tcW w:w="59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96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7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6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69,674</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7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2,455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2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7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784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6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20" w:type="dxa"/>
            <w:vAlign w:val="bottom"/>
          </w:tcPr>
          <w:p>
            <w:pPr>
              <w:spacing w:after="0"/>
              <w:rPr>
                <w:sz w:val="9"/>
                <w:szCs w:val="9"/>
                <w:color w:val="auto"/>
              </w:rPr>
            </w:pPr>
          </w:p>
        </w:tc>
        <w:tc>
          <w:tcPr>
            <w:tcW w:w="70" w:type="dxa"/>
            <w:vAlign w:val="bottom"/>
          </w:tcPr>
          <w:p>
            <w:pPr>
              <w:spacing w:after="0"/>
              <w:rPr>
                <w:sz w:val="9"/>
                <w:szCs w:val="9"/>
                <w:color w:val="auto"/>
              </w:rPr>
            </w:pPr>
          </w:p>
        </w:tc>
        <w:tc>
          <w:tcPr>
            <w:tcW w:w="59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62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80,970</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7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15,577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29,929</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62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62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7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w w:val="86"/>
              </w:rPr>
              <w:t>126,476</w:t>
            </w:r>
          </w:p>
        </w:tc>
        <w:tc>
          <w:tcPr>
            <w:tcW w:w="3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139,376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9620" w:type="dxa"/>
            <w:vAlign w:val="bottom"/>
          </w:tcPr>
          <w:p>
            <w:pPr>
              <w:spacing w:after="0"/>
              <w:rPr>
                <w:sz w:val="9"/>
                <w:szCs w:val="9"/>
                <w:color w:val="auto"/>
              </w:rPr>
            </w:pPr>
          </w:p>
        </w:tc>
        <w:tc>
          <w:tcPr>
            <w:tcW w:w="70" w:type="dxa"/>
            <w:vAlign w:val="bottom"/>
          </w:tcPr>
          <w:p>
            <w:pPr>
              <w:spacing w:after="0"/>
              <w:rPr>
                <w:sz w:val="9"/>
                <w:szCs w:val="9"/>
                <w:color w:val="auto"/>
              </w:rPr>
            </w:pPr>
          </w:p>
        </w:tc>
        <w:tc>
          <w:tcPr>
            <w:tcW w:w="59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620" w:type="dxa"/>
            <w:vAlign w:val="bottom"/>
            <w:tcBorders>
              <w:right w:val="single" w:sz="8" w:color="auto"/>
            </w:tcBorders>
          </w:tcPr>
          <w:p>
            <w:pPr>
              <w:spacing w:after="0"/>
              <w:rPr>
                <w:sz w:val="5"/>
                <w:szCs w:val="5"/>
                <w:color w:val="auto"/>
              </w:rPr>
            </w:pPr>
          </w:p>
        </w:tc>
        <w:tc>
          <w:tcPr>
            <w:tcW w:w="70" w:type="dxa"/>
            <w:vAlign w:val="bottom"/>
            <w:shd w:val="clear" w:color="auto" w:fill="000000"/>
          </w:tcPr>
          <w:p>
            <w:pPr>
              <w:spacing w:after="0"/>
              <w:rPr>
                <w:sz w:val="5"/>
                <w:szCs w:val="5"/>
                <w:color w:val="auto"/>
              </w:rPr>
            </w:pPr>
          </w:p>
        </w:tc>
        <w:tc>
          <w:tcPr>
            <w:tcW w:w="590" w:type="dxa"/>
            <w:vAlign w:val="bottom"/>
            <w:shd w:val="clear" w:color="auto" w:fill="000000"/>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96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96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7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6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7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3,807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6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20" w:type="dxa"/>
            <w:vAlign w:val="bottom"/>
          </w:tcPr>
          <w:p>
            <w:pPr>
              <w:spacing w:after="0"/>
              <w:rPr>
                <w:sz w:val="9"/>
                <w:szCs w:val="9"/>
                <w:color w:val="auto"/>
              </w:rPr>
            </w:pPr>
          </w:p>
        </w:tc>
        <w:tc>
          <w:tcPr>
            <w:tcW w:w="70" w:type="dxa"/>
            <w:vAlign w:val="bottom"/>
          </w:tcPr>
          <w:p>
            <w:pPr>
              <w:spacing w:after="0"/>
              <w:rPr>
                <w:sz w:val="9"/>
                <w:szCs w:val="9"/>
                <w:color w:val="auto"/>
              </w:rPr>
            </w:pPr>
          </w:p>
        </w:tc>
        <w:tc>
          <w:tcPr>
            <w:tcW w:w="59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6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7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200"/>
              <w:spacing w:after="0"/>
              <w:rPr>
                <w:sz w:val="20"/>
                <w:szCs w:val="20"/>
                <w:color w:val="auto"/>
              </w:rPr>
            </w:pPr>
            <w:r>
              <w:rPr>
                <w:rFonts w:ascii="Arial" w:cs="Arial" w:eastAsia="Arial" w:hAnsi="Arial"/>
                <w:sz w:val="18"/>
                <w:szCs w:val="18"/>
                <w:color w:val="auto"/>
              </w:rPr>
              <w:t>Treasury stock</w:t>
            </w:r>
          </w:p>
        </w:tc>
        <w:tc>
          <w:tcPr>
            <w:tcW w:w="70" w:type="dxa"/>
            <w:vAlign w:val="bottom"/>
          </w:tcPr>
          <w:p>
            <w:pPr>
              <w:spacing w:after="0"/>
              <w:rPr>
                <w:sz w:val="18"/>
                <w:szCs w:val="18"/>
                <w:color w:val="auto"/>
              </w:rPr>
            </w:pPr>
          </w:p>
        </w:tc>
        <w:tc>
          <w:tcPr>
            <w:tcW w:w="89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6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stock compensation</w:t>
            </w:r>
          </w:p>
        </w:tc>
        <w:tc>
          <w:tcPr>
            <w:tcW w:w="70" w:type="dxa"/>
            <w:vAlign w:val="bottom"/>
            <w:shd w:val="clear" w:color="auto" w:fill="CCEEFF"/>
          </w:tcPr>
          <w:p>
            <w:pPr>
              <w:spacing w:after="0"/>
              <w:rPr>
                <w:sz w:val="18"/>
                <w:szCs w:val="18"/>
                <w:color w:val="auto"/>
              </w:rPr>
            </w:pPr>
          </w:p>
        </w:tc>
        <w:tc>
          <w:tcPr>
            <w:tcW w:w="89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16"/>
        </w:trPr>
        <w:tc>
          <w:tcPr>
            <w:tcW w:w="96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7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w w:val="86"/>
              </w:rPr>
              <w:t>214,816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70" w:type="dxa"/>
            <w:vAlign w:val="bottom"/>
            <w:shd w:val="clear" w:color="auto" w:fill="CCEEFF"/>
          </w:tcPr>
          <w:p>
            <w:pPr>
              <w:spacing w:after="0"/>
              <w:rPr>
                <w:sz w:val="18"/>
                <w:szCs w:val="18"/>
                <w:color w:val="auto"/>
              </w:rPr>
            </w:pPr>
          </w:p>
        </w:tc>
        <w:tc>
          <w:tcPr>
            <w:tcW w:w="89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(93,938)</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(80,692)</w:t>
            </w:r>
          </w:p>
        </w:tc>
        <w:tc>
          <w:tcPr>
            <w:tcW w:w="0" w:type="dxa"/>
            <w:vAlign w:val="bottom"/>
          </w:tcPr>
          <w:p>
            <w:pPr>
              <w:spacing w:after="0"/>
              <w:rPr>
                <w:sz w:val="1"/>
                <w:szCs w:val="1"/>
                <w:color w:val="auto"/>
              </w:rPr>
            </w:pPr>
          </w:p>
        </w:tc>
      </w:tr>
      <w:tr>
        <w:trPr>
          <w:trHeight w:val="222"/>
        </w:trPr>
        <w:tc>
          <w:tcPr>
            <w:tcW w:w="9620" w:type="dxa"/>
            <w:vAlign w:val="bottom"/>
          </w:tcPr>
          <w:p>
            <w:pPr>
              <w:ind w:left="200"/>
              <w:spacing w:after="0"/>
              <w:rPr>
                <w:sz w:val="20"/>
                <w:szCs w:val="20"/>
                <w:color w:val="auto"/>
              </w:rPr>
            </w:pPr>
            <w:r>
              <w:rPr>
                <w:rFonts w:ascii="Arial" w:cs="Arial" w:eastAsia="Arial" w:hAnsi="Arial"/>
                <w:sz w:val="18"/>
                <w:szCs w:val="18"/>
                <w:color w:val="auto"/>
              </w:rPr>
              <w:t>Other accumulated comprehensive income</w:t>
            </w:r>
          </w:p>
        </w:tc>
        <w:tc>
          <w:tcPr>
            <w:tcW w:w="7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613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6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620" w:type="dxa"/>
            <w:vAlign w:val="bottom"/>
          </w:tcPr>
          <w:p>
            <w:pPr>
              <w:spacing w:after="0"/>
              <w:rPr>
                <w:sz w:val="9"/>
                <w:szCs w:val="9"/>
                <w:color w:val="auto"/>
              </w:rPr>
            </w:pPr>
          </w:p>
        </w:tc>
        <w:tc>
          <w:tcPr>
            <w:tcW w:w="70" w:type="dxa"/>
            <w:vAlign w:val="bottom"/>
          </w:tcPr>
          <w:p>
            <w:pPr>
              <w:spacing w:after="0"/>
              <w:rPr>
                <w:sz w:val="9"/>
                <w:szCs w:val="9"/>
                <w:color w:val="auto"/>
              </w:rPr>
            </w:pPr>
          </w:p>
        </w:tc>
        <w:tc>
          <w:tcPr>
            <w:tcW w:w="59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62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7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120,481</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62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62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7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w w:val="86"/>
              </w:rPr>
              <w:t>126,476</w:t>
            </w:r>
          </w:p>
        </w:tc>
        <w:tc>
          <w:tcPr>
            <w:tcW w:w="3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139,376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9620" w:type="dxa"/>
            <w:vAlign w:val="bottom"/>
          </w:tcPr>
          <w:p>
            <w:pPr>
              <w:spacing w:after="0"/>
              <w:rPr>
                <w:sz w:val="9"/>
                <w:szCs w:val="9"/>
                <w:color w:val="auto"/>
              </w:rPr>
            </w:pPr>
          </w:p>
        </w:tc>
        <w:tc>
          <w:tcPr>
            <w:tcW w:w="70" w:type="dxa"/>
            <w:vAlign w:val="bottom"/>
          </w:tcPr>
          <w:p>
            <w:pPr>
              <w:spacing w:after="0"/>
              <w:rPr>
                <w:sz w:val="9"/>
                <w:szCs w:val="9"/>
                <w:color w:val="auto"/>
              </w:rPr>
            </w:pPr>
          </w:p>
        </w:tc>
        <w:tc>
          <w:tcPr>
            <w:tcW w:w="59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620" w:type="dxa"/>
            <w:vAlign w:val="bottom"/>
            <w:tcBorders>
              <w:right w:val="single" w:sz="8" w:color="auto"/>
            </w:tcBorders>
          </w:tcPr>
          <w:p>
            <w:pPr>
              <w:spacing w:after="0"/>
              <w:rPr>
                <w:sz w:val="5"/>
                <w:szCs w:val="5"/>
                <w:color w:val="auto"/>
              </w:rPr>
            </w:pPr>
          </w:p>
        </w:tc>
        <w:tc>
          <w:tcPr>
            <w:tcW w:w="70" w:type="dxa"/>
            <w:vAlign w:val="bottom"/>
            <w:shd w:val="clear" w:color="auto" w:fill="000000"/>
          </w:tcPr>
          <w:p>
            <w:pPr>
              <w:spacing w:after="0"/>
              <w:rPr>
                <w:sz w:val="5"/>
                <w:szCs w:val="5"/>
                <w:color w:val="auto"/>
              </w:rPr>
            </w:pPr>
          </w:p>
        </w:tc>
        <w:tc>
          <w:tcPr>
            <w:tcW w:w="590" w:type="dxa"/>
            <w:vAlign w:val="bottom"/>
            <w:shd w:val="clear" w:color="auto" w:fill="000000"/>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-4705350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-4705350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-4705350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-4705350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-3538855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-3538855</wp:posOffset>
            </wp:positionV>
            <wp:extent cx="21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-3545205</wp:posOffset>
            </wp:positionV>
            <wp:extent cx="3873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-3538855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-3538855</wp:posOffset>
            </wp:positionV>
            <wp:extent cx="215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-3545205</wp:posOffset>
            </wp:positionV>
            <wp:extent cx="3873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-2973070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-2973070</wp:posOffset>
            </wp:positionV>
            <wp:extent cx="215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-2979420</wp:posOffset>
            </wp:positionV>
            <wp:extent cx="3873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-2973070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-2973070</wp:posOffset>
            </wp:positionV>
            <wp:extent cx="215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-2979420</wp:posOffset>
            </wp:positionV>
            <wp:extent cx="3873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-2687955</wp:posOffset>
            </wp:positionV>
            <wp:extent cx="71564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645" cy="3873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-1866900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-1866900</wp:posOffset>
            </wp:positionV>
            <wp:extent cx="21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-1873250</wp:posOffset>
            </wp:positionV>
            <wp:extent cx="3873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-1866900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-1866900</wp:posOffset>
            </wp:positionV>
            <wp:extent cx="215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-1873250</wp:posOffset>
            </wp:positionV>
            <wp:extent cx="3873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-614680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-614680</wp:posOffset>
            </wp:positionV>
            <wp:extent cx="215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-621030</wp:posOffset>
            </wp:positionV>
            <wp:extent cx="3873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-614680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-614680</wp:posOffset>
            </wp:positionV>
            <wp:extent cx="215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-621030</wp:posOffset>
            </wp:positionV>
            <wp:extent cx="3873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-323215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-323215</wp:posOffset>
            </wp:positionV>
            <wp:extent cx="215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-329565</wp:posOffset>
            </wp:positionV>
            <wp:extent cx="3873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-323215</wp:posOffset>
            </wp:positionV>
            <wp:extent cx="215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-38100</wp:posOffset>
            </wp:positionV>
            <wp:extent cx="2984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-38100</wp:posOffset>
            </wp:positionV>
            <wp:extent cx="2984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jc w:val="center"/>
              <w:ind w:left="435"/>
              <w:spacing w:after="0"/>
              <w:rPr>
                <w:sz w:val="20"/>
                <w:szCs w:val="20"/>
                <w:color w:val="auto"/>
              </w:rPr>
            </w:pPr>
            <w:r>
              <w:rPr>
                <w:rFonts w:ascii="Arial" w:cs="Arial" w:eastAsia="Arial" w:hAnsi="Arial"/>
                <w:sz w:val="14"/>
                <w:szCs w:val="14"/>
                <w:b w:val="1"/>
                <w:bCs w:val="1"/>
                <w:color w:val="auto"/>
                <w:w w:val="89"/>
              </w:rPr>
              <w:t>Three Months</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Six Months</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tcPr>
          <w:p>
            <w:pPr>
              <w:jc w:val="center"/>
              <w:ind w:left="435"/>
              <w:spacing w:after="0"/>
              <w:rPr>
                <w:sz w:val="20"/>
                <w:szCs w:val="20"/>
                <w:color w:val="auto"/>
              </w:rPr>
            </w:pPr>
            <w:r>
              <w:rPr>
                <w:rFonts w:ascii="Arial" w:cs="Arial" w:eastAsia="Arial" w:hAnsi="Arial"/>
                <w:sz w:val="14"/>
                <w:szCs w:val="14"/>
                <w:b w:val="1"/>
                <w:bCs w:val="1"/>
                <w:color w:val="auto"/>
                <w:w w:val="87"/>
              </w:rPr>
              <w:t>Ended June 30,</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ind w:right="215"/>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233"/>
              <w:spacing w:after="0"/>
              <w:rPr>
                <w:sz w:val="20"/>
                <w:szCs w:val="20"/>
                <w:color w:val="auto"/>
              </w:rPr>
            </w:pPr>
            <w:r>
              <w:rPr>
                <w:rFonts w:ascii="Arial" w:cs="Arial" w:eastAsia="Arial" w:hAnsi="Arial"/>
                <w:sz w:val="14"/>
                <w:szCs w:val="14"/>
                <w:b w:val="1"/>
                <w:bCs w:val="1"/>
                <w:color w:val="auto"/>
                <w:w w:val="83"/>
              </w:rPr>
              <w:t>2001</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33"/>
              <w:spacing w:after="0"/>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670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6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Product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140"/>
              <w:spacing w:after="0"/>
              <w:rPr>
                <w:sz w:val="20"/>
                <w:szCs w:val="20"/>
                <w:color w:val="auto"/>
              </w:rPr>
            </w:pPr>
            <w:r>
              <w:rPr>
                <w:rFonts w:ascii="Arial" w:cs="Arial" w:eastAsia="Arial" w:hAnsi="Arial"/>
                <w:sz w:val="18"/>
                <w:szCs w:val="18"/>
                <w:color w:val="auto"/>
              </w:rPr>
              <w:t>Development contract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6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Cost of product revenue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40"/>
              <w:spacing w:after="0"/>
              <w:rPr>
                <w:sz w:val="20"/>
                <w:szCs w:val="20"/>
                <w:color w:val="auto"/>
              </w:rPr>
            </w:pPr>
            <w:r>
              <w:rPr>
                <w:rFonts w:ascii="Arial" w:cs="Arial" w:eastAsia="Arial" w:hAnsi="Arial"/>
                <w:sz w:val="18"/>
                <w:szCs w:val="18"/>
                <w:color w:val="auto"/>
              </w:rPr>
              <w:t>Cost of development contract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40"/>
              <w:spacing w:after="0"/>
              <w:rPr>
                <w:sz w:val="20"/>
                <w:szCs w:val="20"/>
                <w:color w:val="auto"/>
              </w:rPr>
            </w:pPr>
            <w:r>
              <w:rPr>
                <w:rFonts w:ascii="Arial" w:cs="Arial" w:eastAsia="Arial" w:hAnsi="Arial"/>
                <w:sz w:val="18"/>
                <w:szCs w:val="18"/>
                <w:color w:val="auto"/>
              </w:rPr>
              <w:t>Selling, general &amp; administrative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6,227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of deferred stock compensation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10,608</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15,194</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22,202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(8,462)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(14,970)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(17,439)</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18"/>
        </w:trPr>
        <w:tc>
          <w:tcPr>
            <w:tcW w:w="6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tcPr>
          <w:p>
            <w:pPr>
              <w:ind w:left="20"/>
              <w:spacing w:after="0"/>
              <w:rPr>
                <w:sz w:val="20"/>
                <w:szCs w:val="20"/>
                <w:color w:val="auto"/>
              </w:rPr>
            </w:pPr>
            <w:r>
              <w:rPr>
                <w:rFonts w:ascii="Arial" w:cs="Arial" w:eastAsia="Arial" w:hAnsi="Arial"/>
                <w:sz w:val="18"/>
                <w:szCs w:val="18"/>
                <w:color w:val="auto"/>
              </w:rPr>
              <w:t>Net loss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(6,707)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(6,849)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(13,246)</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(13,564)</w:t>
            </w:r>
          </w:p>
        </w:tc>
        <w:tc>
          <w:tcPr>
            <w:tcW w:w="0" w:type="dxa"/>
            <w:vAlign w:val="bottom"/>
          </w:tcPr>
          <w:p>
            <w:pPr>
              <w:spacing w:after="0"/>
              <w:rPr>
                <w:sz w:val="1"/>
                <w:szCs w:val="1"/>
                <w:color w:val="auto"/>
              </w:rPr>
            </w:pPr>
          </w:p>
        </w:tc>
      </w:tr>
      <w:tr>
        <w:trPr>
          <w:trHeight w:val="107"/>
        </w:trPr>
        <w:tc>
          <w:tcPr>
            <w:tcW w:w="6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00" w:type="dxa"/>
            <w:vAlign w:val="bottom"/>
            <w:tcBorders>
              <w:right w:val="single" w:sz="8" w:color="auto"/>
            </w:tcBorders>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basic &amp;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(0.32)</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8"/>
        </w:trPr>
        <w:tc>
          <w:tcPr>
            <w:tcW w:w="6700" w:type="dxa"/>
            <w:vAlign w:val="bottom"/>
          </w:tcPr>
          <w:p>
            <w:pPr>
              <w:ind w:left="20"/>
              <w:spacing w:after="0"/>
              <w:rPr>
                <w:sz w:val="20"/>
                <w:szCs w:val="20"/>
                <w:color w:val="auto"/>
              </w:rPr>
            </w:pPr>
            <w:r>
              <w:rPr>
                <w:rFonts w:ascii="Arial" w:cs="Arial" w:eastAsia="Arial" w:hAnsi="Arial"/>
                <w:sz w:val="18"/>
                <w:szCs w:val="18"/>
                <w:color w:val="auto"/>
              </w:rPr>
              <w:t>Shares used in computing net loss per share, basic &amp; diluted</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41,129,179</w:t>
            </w:r>
          </w:p>
        </w:tc>
        <w:tc>
          <w:tcPr>
            <w:tcW w:w="3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39,508,193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40,988,630</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39,222,367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(13,246)</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(13,564)</w:t>
            </w:r>
          </w:p>
        </w:tc>
        <w:tc>
          <w:tcPr>
            <w:tcW w:w="0" w:type="dxa"/>
            <w:vAlign w:val="bottom"/>
          </w:tcPr>
          <w:p>
            <w:pPr>
              <w:spacing w:after="0"/>
              <w:rPr>
                <w:sz w:val="1"/>
                <w:szCs w:val="1"/>
                <w:color w:val="auto"/>
              </w:rPr>
            </w:pPr>
          </w:p>
        </w:tc>
      </w:tr>
      <w:tr>
        <w:trPr>
          <w:trHeight w:val="222"/>
        </w:trPr>
        <w:tc>
          <w:tcPr>
            <w:tcW w:w="6700" w:type="dxa"/>
            <w:vAlign w:val="bottom"/>
          </w:tcPr>
          <w:p>
            <w:pPr>
              <w:ind w:left="140"/>
              <w:spacing w:after="0"/>
              <w:rPr>
                <w:sz w:val="20"/>
                <w:szCs w:val="20"/>
                <w:color w:val="auto"/>
              </w:rPr>
            </w:pPr>
            <w:r>
              <w:rPr>
                <w:rFonts w:ascii="Arial" w:cs="Arial" w:eastAsia="Arial" w:hAnsi="Arial"/>
                <w:sz w:val="18"/>
                <w:szCs w:val="18"/>
                <w:color w:val="auto"/>
              </w:rPr>
              <w:t>Unrealized gain (loss) – investments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6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(12,954)</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(13,564)</w:t>
            </w:r>
          </w:p>
        </w:tc>
        <w:tc>
          <w:tcPr>
            <w:tcW w:w="0" w:type="dxa"/>
            <w:vAlign w:val="bottom"/>
          </w:tcPr>
          <w:p>
            <w:pPr>
              <w:spacing w:after="0"/>
              <w:rPr>
                <w:sz w:val="1"/>
                <w:szCs w:val="1"/>
                <w:color w:val="auto"/>
              </w:rPr>
            </w:pPr>
          </w:p>
        </w:tc>
      </w:tr>
      <w:tr>
        <w:trPr>
          <w:trHeight w:val="105"/>
        </w:trPr>
        <w:tc>
          <w:tcPr>
            <w:tcW w:w="6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-4259580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-4259580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-4259580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-4259580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-4010660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-4010660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-4010660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-4010660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-4010660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-4010660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-4010660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-4010660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-3444875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-3444875</wp:posOffset>
            </wp:positionV>
            <wp:extent cx="215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-3451225</wp:posOffset>
            </wp:positionV>
            <wp:extent cx="3873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-3444875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-3444875</wp:posOffset>
            </wp:positionV>
            <wp:extent cx="215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-3451225</wp:posOffset>
            </wp:positionV>
            <wp:extent cx="3873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-3444875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-3444875</wp:posOffset>
            </wp:positionV>
            <wp:extent cx="215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-3451225</wp:posOffset>
            </wp:positionV>
            <wp:extent cx="3873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-3444875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-3444875</wp:posOffset>
            </wp:positionV>
            <wp:extent cx="215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-3451225</wp:posOffset>
            </wp:positionV>
            <wp:extent cx="3873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-2329815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-2329815</wp:posOffset>
            </wp:positionV>
            <wp:extent cx="215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-2336165</wp:posOffset>
            </wp:positionV>
            <wp:extent cx="3873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-2329815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-2329815</wp:posOffset>
            </wp:positionV>
            <wp:extent cx="215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-2336165</wp:posOffset>
            </wp:positionV>
            <wp:extent cx="3873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-2329815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-2329815</wp:posOffset>
            </wp:positionV>
            <wp:extent cx="215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-2336165</wp:posOffset>
            </wp:positionV>
            <wp:extent cx="3873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-2329815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-2329815</wp:posOffset>
            </wp:positionV>
            <wp:extent cx="215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-2336165</wp:posOffset>
            </wp:positionV>
            <wp:extent cx="3873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-2038350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-2038350</wp:posOffset>
            </wp:positionV>
            <wp:extent cx="215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-2044700</wp:posOffset>
            </wp:positionV>
            <wp:extent cx="3873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-2038350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-2038350</wp:posOffset>
            </wp:positionV>
            <wp:extent cx="215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-2044700</wp:posOffset>
            </wp:positionV>
            <wp:extent cx="3873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-2038350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-2038350</wp:posOffset>
            </wp:positionV>
            <wp:extent cx="215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-2044700</wp:posOffset>
            </wp:positionV>
            <wp:extent cx="3873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-2038350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-2038350</wp:posOffset>
            </wp:positionV>
            <wp:extent cx="215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-2044700</wp:posOffset>
            </wp:positionV>
            <wp:extent cx="3873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-1471930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-1471930</wp:posOffset>
            </wp:positionV>
            <wp:extent cx="215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-1478280</wp:posOffset>
            </wp:positionV>
            <wp:extent cx="3873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-1471930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-1471930</wp:posOffset>
            </wp:positionV>
            <wp:extent cx="215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-1478280</wp:posOffset>
            </wp:positionV>
            <wp:extent cx="3873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-1471930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-1471930</wp:posOffset>
            </wp:positionV>
            <wp:extent cx="215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-1478280</wp:posOffset>
            </wp:positionV>
            <wp:extent cx="3873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-1471930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-1471930</wp:posOffset>
            </wp:positionV>
            <wp:extent cx="215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-1478280</wp:posOffset>
            </wp:positionV>
            <wp:extent cx="3873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-1186815</wp:posOffset>
            </wp:positionV>
            <wp:extent cx="2984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-1186815</wp:posOffset>
            </wp:positionV>
            <wp:extent cx="2984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-1186815</wp:posOffset>
            </wp:positionV>
            <wp:extent cx="2984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-1186815</wp:posOffset>
            </wp:positionV>
            <wp:extent cx="2984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-323215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-323215</wp:posOffset>
            </wp:positionV>
            <wp:extent cx="215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-329565</wp:posOffset>
            </wp:positionV>
            <wp:extent cx="3873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-323215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-323215</wp:posOffset>
            </wp:positionV>
            <wp:extent cx="215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-329565</wp:posOffset>
            </wp:positionV>
            <wp:extent cx="38735"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-323215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-323215</wp:posOffset>
            </wp:positionV>
            <wp:extent cx="215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-329565</wp:posOffset>
            </wp:positionV>
            <wp:extent cx="3873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-323215</wp:posOffset>
            </wp:positionV>
            <wp:extent cx="215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-38100</wp:posOffset>
            </wp:positionV>
            <wp:extent cx="82740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7405" cy="3873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-38100</wp:posOffset>
            </wp:positionV>
            <wp:extent cx="2984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-38100</wp:posOffset>
            </wp:positionV>
            <wp:extent cx="2984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STATEMENTS OF CASH FLOWS</w:t>
      </w:r>
    </w:p>
    <w:p>
      <w:pPr>
        <w:spacing w:after="0" w:line="151"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1660" w:type="dxa"/>
            <w:vAlign w:val="bottom"/>
            <w:gridSpan w:val="7"/>
          </w:tcPr>
          <w:p>
            <w:pPr>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80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(13,246)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40"/>
              <w:spacing w:after="0"/>
              <w:rPr>
                <w:sz w:val="20"/>
                <w:szCs w:val="20"/>
                <w:color w:val="auto"/>
              </w:rPr>
            </w:pPr>
            <w:r>
              <w:rPr>
                <w:rFonts w:ascii="Arial" w:cs="Arial" w:eastAsia="Arial" w:hAnsi="Arial"/>
                <w:sz w:val="18"/>
                <w:szCs w:val="18"/>
                <w:color w:val="auto"/>
              </w:rPr>
              <w:t>Adjustment to reconcile net loss to cash used in operating activities: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40"/>
              <w:spacing w:after="0"/>
              <w:rPr>
                <w:sz w:val="20"/>
                <w:szCs w:val="20"/>
                <w:color w:val="auto"/>
              </w:rPr>
            </w:pPr>
            <w:r>
              <w:rPr>
                <w:rFonts w:ascii="Arial" w:cs="Arial" w:eastAsia="Arial" w:hAnsi="Arial"/>
                <w:sz w:val="18"/>
                <w:szCs w:val="18"/>
                <w:color w:val="auto"/>
              </w:rPr>
              <w:t>Amortization of deferred stock compensation</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Unrealized gain on available-for-sale investments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0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04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4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(12,526)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(11,530)</w:t>
            </w:r>
          </w:p>
        </w:tc>
        <w:tc>
          <w:tcPr>
            <w:tcW w:w="0" w:type="dxa"/>
            <w:vAlign w:val="bottom"/>
          </w:tcPr>
          <w:p>
            <w:pPr>
              <w:spacing w:after="0"/>
              <w:rPr>
                <w:sz w:val="1"/>
                <w:szCs w:val="1"/>
                <w:color w:val="auto"/>
              </w:rPr>
            </w:pPr>
          </w:p>
        </w:tc>
      </w:tr>
      <w:tr>
        <w:trPr>
          <w:trHeight w:val="365"/>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maturity (purchase) of short-term investments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proceeds from exercise of warrants</w:t>
            </w:r>
          </w:p>
        </w:tc>
        <w:tc>
          <w:tcPr>
            <w:tcW w:w="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04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40" w:type="dxa"/>
            <w:vAlign w:val="bottom"/>
            <w:gridSpan w:val="2"/>
          </w:tcPr>
          <w:p>
            <w:pPr>
              <w:spacing w:after="0"/>
              <w:rPr>
                <w:sz w:val="20"/>
                <w:szCs w:val="20"/>
                <w:color w:val="auto"/>
              </w:rPr>
            </w:pPr>
            <w:r>
              <w:rPr>
                <w:rFonts w:ascii="Arial" w:cs="Arial" w:eastAsia="Arial" w:hAnsi="Arial"/>
                <w:sz w:val="18"/>
                <w:szCs w:val="18"/>
                <w:color w:val="auto"/>
              </w:rPr>
              <w:t>Change in cash and cash equivalents</w:t>
            </w:r>
          </w:p>
        </w:tc>
        <w:tc>
          <w:tcPr>
            <w:tcW w:w="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(10,727)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04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69,674</w:t>
            </w:r>
          </w:p>
        </w:tc>
        <w:tc>
          <w:tcPr>
            <w:tcW w:w="10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84,091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2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-4688205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-4688205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-4439285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-4439285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-4439285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-4439285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-2638425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-2638425</wp:posOffset>
            </wp:positionV>
            <wp:extent cx="215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-2644775</wp:posOffset>
            </wp:positionV>
            <wp:extent cx="3873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-2638425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-2638425</wp:posOffset>
            </wp:positionV>
            <wp:extent cx="215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-2644775</wp:posOffset>
            </wp:positionV>
            <wp:extent cx="3873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-1840865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-1840865</wp:posOffset>
            </wp:positionV>
            <wp:extent cx="215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-1847215</wp:posOffset>
            </wp:positionV>
            <wp:extent cx="3873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-1840865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-1840865</wp:posOffset>
            </wp:positionV>
            <wp:extent cx="215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-1847215</wp:posOffset>
            </wp:positionV>
            <wp:extent cx="3873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-1043305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-1043305</wp:posOffset>
            </wp:positionV>
            <wp:extent cx="215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-1049655</wp:posOffset>
            </wp:positionV>
            <wp:extent cx="3873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-1043305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-1043305</wp:posOffset>
            </wp:positionV>
            <wp:extent cx="215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-1049655</wp:posOffset>
            </wp:positionV>
            <wp:extent cx="3873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-751840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-751840</wp:posOffset>
            </wp:positionV>
            <wp:extent cx="215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-758190</wp:posOffset>
            </wp:positionV>
            <wp:extent cx="3873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-751840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-751840</wp:posOffset>
            </wp:positionV>
            <wp:extent cx="215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-758190</wp:posOffset>
            </wp:positionV>
            <wp:extent cx="3873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215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-329565</wp:posOffset>
            </wp:positionV>
            <wp:extent cx="3873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-323215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-323215</wp:posOffset>
            </wp:positionV>
            <wp:extent cx="215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-329565</wp:posOffset>
            </wp:positionV>
            <wp:extent cx="3873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-38100</wp:posOffset>
            </wp:positionV>
            <wp:extent cx="2984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-38100</wp:posOffset>
            </wp:positionV>
            <wp:extent cx="2984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240" w:top="459" w:right="10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6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Active Power, Inc. was founded in 1992 for the purpose of developing and commercializing advances in the field of electromechanics. Prior to 2000, we devoted our efforts principally to research and development, pursuing patent protection for intellectual property, successful production of our initial prototypes, raising capital and pursuing markets for our flywheel-based power quality and energy storage products. In 2000 and 2001, we expanded the size and scope of our operations considerably. We raised our level of new product development expenditures, increased our manufacturing capabilities and capacity, and added resources in sales and service to strengthen our distribution channels.</w:t>
      </w:r>
    </w:p>
    <w:p>
      <w:pPr>
        <w:spacing w:after="0" w:line="96"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accompanying unaudited interim financial statements have been prepared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These financial statements should be read in conjunction with the audited financial statements and accompanying notes thereto included in our Form 10-K for the year ending December 31, 2001. In the opinion of management the financial statements include all adjustments (consisting of normal recurring adjustments) necessary for a fair presentation of the results for the periods presented. Results of operations for any interim period are not necessarily indicative of results for any other interim period or for the full year.</w:t>
      </w:r>
    </w:p>
    <w:p>
      <w:pPr>
        <w:spacing w:after="0" w:line="101"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64"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Active Power states inventories at the lower of cost or replacement cost, with cost being determined on a standard cost basis, which does not differ materially from actual cost.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w:t>
      </w:r>
    </w:p>
    <w:p>
      <w:pPr>
        <w:spacing w:after="0" w:line="14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December 31,</w:t>
            </w:r>
          </w:p>
        </w:tc>
      </w:tr>
      <w:tr>
        <w:trPr>
          <w:trHeight w:val="174"/>
        </w:trPr>
        <w:tc>
          <w:tcPr>
            <w:tcW w:w="4940" w:type="dxa"/>
            <w:vAlign w:val="bottom"/>
          </w:tcPr>
          <w:p>
            <w:pPr>
              <w:spacing w:after="0"/>
              <w:rPr>
                <w:sz w:val="15"/>
                <w:szCs w:val="15"/>
                <w:color w:val="auto"/>
              </w:rPr>
            </w:pPr>
          </w:p>
        </w:tc>
        <w:tc>
          <w:tcPr>
            <w:tcW w:w="800" w:type="dxa"/>
            <w:vAlign w:val="bottom"/>
          </w:tcPr>
          <w:p>
            <w:pPr>
              <w:jc w:val="right"/>
              <w:ind w:right="198"/>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9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r>
      <w:tr>
        <w:trPr>
          <w:trHeight w:val="105"/>
        </w:trPr>
        <w:tc>
          <w:tcPr>
            <w:tcW w:w="49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4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$3,852,911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$4,326,357</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Work in process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4,760,869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3,923,040</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413,495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190,718</w:t>
            </w:r>
          </w:p>
        </w:tc>
        <w:tc>
          <w:tcPr>
            <w:tcW w:w="60" w:type="dxa"/>
            <w:vAlign w:val="bottom"/>
            <w:shd w:val="clear" w:color="auto" w:fill="CCEEFF"/>
          </w:tcPr>
          <w:p>
            <w:pPr>
              <w:spacing w:after="0"/>
              <w:rPr>
                <w:sz w:val="18"/>
                <w:szCs w:val="18"/>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Less Reserves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(970,337)</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(570,756)</w:t>
            </w:r>
          </w:p>
        </w:tc>
      </w:tr>
      <w:tr>
        <w:trPr>
          <w:trHeight w:val="112"/>
        </w:trPr>
        <w:tc>
          <w:tcPr>
            <w:tcW w:w="49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4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49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$8,056,938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$7,869,359</w:t>
            </w:r>
          </w:p>
        </w:tc>
        <w:tc>
          <w:tcPr>
            <w:tcW w:w="60" w:type="dxa"/>
            <w:vAlign w:val="bottom"/>
            <w:shd w:val="clear" w:color="auto" w:fill="CCEEFF"/>
          </w:tcPr>
          <w:p>
            <w:pPr>
              <w:spacing w:after="0"/>
              <w:rPr>
                <w:sz w:val="18"/>
                <w:szCs w:val="18"/>
                <w:color w:val="auto"/>
              </w:rPr>
            </w:pPr>
          </w:p>
        </w:tc>
      </w:tr>
      <w:tr>
        <w:trPr>
          <w:trHeight w:val="118"/>
        </w:trPr>
        <w:tc>
          <w:tcPr>
            <w:tcW w:w="49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-1009015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-1009015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-1009015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-1009015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-306070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-306070</wp:posOffset>
            </wp:positionV>
            <wp:extent cx="215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-312420</wp:posOffset>
            </wp:positionV>
            <wp:extent cx="38735"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-306070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-306070</wp:posOffset>
            </wp:positionV>
            <wp:extent cx="215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-312420</wp:posOffset>
            </wp:positionV>
            <wp:extent cx="3873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215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-20955</wp:posOffset>
            </wp:positionV>
            <wp:extent cx="3873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-14605</wp:posOffset>
            </wp:positionV>
            <wp:extent cx="215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-20955</wp:posOffset>
            </wp:positionV>
            <wp:extent cx="3873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During the quarter ended March 31, 2002 we increased our inventory reserve to recognize the potential obsolescence of certain component parts that were at risk of becoming obsolete when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various engineering product enhancements and cost reduction design changes were implemented. During the quarter ended June 30, 2002 we decreased our inventory reserve to offset the write off of some of those same component parts.</w:t>
      </w:r>
    </w:p>
    <w:p>
      <w:pPr>
        <w:spacing w:after="0" w:line="112"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21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w:t>
            </w:r>
          </w:p>
        </w:tc>
      </w:tr>
      <w:tr>
        <w:trPr>
          <w:trHeight w:val="174"/>
        </w:trPr>
        <w:tc>
          <w:tcPr>
            <w:tcW w:w="6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5"/>
                <w:szCs w:val="15"/>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Ended June 30,</w:t>
            </w:r>
          </w:p>
        </w:tc>
      </w:tr>
      <w:tr>
        <w:trPr>
          <w:trHeight w:val="105"/>
        </w:trPr>
        <w:tc>
          <w:tcPr>
            <w:tcW w:w="6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6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24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810" w:type="dxa"/>
            <w:vAlign w:val="bottom"/>
          </w:tcPr>
          <w:p>
            <w:pPr>
              <w:jc w:val="right"/>
              <w:ind w:right="236"/>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3"/>
                <w:szCs w:val="23"/>
                <w:color w:val="auto"/>
              </w:rPr>
            </w:pPr>
          </w:p>
        </w:tc>
      </w:tr>
      <w:tr>
        <w:trPr>
          <w:trHeight w:val="105"/>
        </w:trPr>
        <w:tc>
          <w:tcPr>
            <w:tcW w:w="6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6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 w:type="dxa"/>
            <w:vAlign w:val="bottom"/>
          </w:tcPr>
          <w:p>
            <w:pPr>
              <w:spacing w:after="0"/>
              <w:rPr>
                <w:sz w:val="9"/>
                <w:szCs w:val="9"/>
                <w:color w:val="auto"/>
              </w:rPr>
            </w:pPr>
          </w:p>
        </w:tc>
        <w:tc>
          <w:tcPr>
            <w:tcW w:w="81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67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to common stockholders (thousands)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(13,246)</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(13,564)</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Weighted-average shares of common stock outstanding</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41,192,184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39,727,715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41,056,903</w:t>
            </w:r>
          </w:p>
        </w:tc>
        <w:tc>
          <w:tcPr>
            <w:tcW w:w="3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39,495,352</w:t>
            </w:r>
          </w:p>
        </w:tc>
        <w:tc>
          <w:tcPr>
            <w:tcW w:w="60" w:type="dxa"/>
            <w:vAlign w:val="bottom"/>
            <w:shd w:val="clear" w:color="auto" w:fill="CCEEFF"/>
          </w:tcPr>
          <w:p>
            <w:pPr>
              <w:spacing w:after="0"/>
              <w:rPr>
                <w:sz w:val="18"/>
                <w:szCs w:val="18"/>
                <w:color w:val="auto"/>
              </w:rPr>
            </w:pPr>
          </w:p>
        </w:tc>
      </w:tr>
      <w:tr>
        <w:trPr>
          <w:trHeight w:val="222"/>
        </w:trPr>
        <w:tc>
          <w:tcPr>
            <w:tcW w:w="6700" w:type="dxa"/>
            <w:vAlign w:val="bottom"/>
          </w:tcPr>
          <w:p>
            <w:pPr>
              <w:ind w:left="140"/>
              <w:spacing w:after="0"/>
              <w:rPr>
                <w:sz w:val="20"/>
                <w:szCs w:val="20"/>
                <w:color w:val="auto"/>
              </w:rPr>
            </w:pPr>
            <w:r>
              <w:rPr>
                <w:rFonts w:ascii="Arial" w:cs="Arial" w:eastAsia="Arial" w:hAnsi="Arial"/>
                <w:sz w:val="18"/>
                <w:szCs w:val="18"/>
                <w:color w:val="auto"/>
              </w:rPr>
              <w:t>Weighted-average shares of common stock subject to repurchase</w:t>
            </w:r>
          </w:p>
        </w:tc>
        <w:tc>
          <w:tcPr>
            <w:tcW w:w="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(63,005)</w:t>
            </w:r>
          </w:p>
        </w:tc>
        <w:tc>
          <w:tcPr>
            <w:tcW w:w="1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(219,522)</w:t>
            </w:r>
          </w:p>
        </w:tc>
        <w:tc>
          <w:tcPr>
            <w:tcW w:w="1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(68,273)</w:t>
            </w:r>
          </w:p>
        </w:tc>
        <w:tc>
          <w:tcPr>
            <w:tcW w:w="90" w:type="dxa"/>
            <w:vAlign w:val="bottom"/>
          </w:tcPr>
          <w:p>
            <w:pPr>
              <w:spacing w:after="0"/>
              <w:rPr>
                <w:sz w:val="19"/>
                <w:szCs w:val="19"/>
                <w:color w:val="auto"/>
              </w:rPr>
            </w:pPr>
          </w:p>
        </w:tc>
        <w:tc>
          <w:tcPr>
            <w:tcW w:w="870" w:type="dxa"/>
            <w:vAlign w:val="bottom"/>
            <w:gridSpan w:val="2"/>
          </w:tcPr>
          <w:p>
            <w:pPr>
              <w:jc w:val="right"/>
              <w:spacing w:after="0"/>
              <w:rPr>
                <w:sz w:val="20"/>
                <w:szCs w:val="20"/>
                <w:color w:val="auto"/>
              </w:rPr>
            </w:pPr>
            <w:r>
              <w:rPr>
                <w:rFonts w:ascii="Arial" w:cs="Arial" w:eastAsia="Arial" w:hAnsi="Arial"/>
                <w:sz w:val="18"/>
                <w:szCs w:val="18"/>
                <w:color w:val="auto"/>
              </w:rPr>
              <w:t>(272,985)</w:t>
            </w:r>
          </w:p>
        </w:tc>
      </w:tr>
      <w:tr>
        <w:trPr>
          <w:trHeight w:val="112"/>
        </w:trPr>
        <w:tc>
          <w:tcPr>
            <w:tcW w:w="6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6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 w:type="dxa"/>
            <w:vAlign w:val="bottom"/>
          </w:tcPr>
          <w:p>
            <w:pPr>
              <w:spacing w:after="0"/>
              <w:rPr>
                <w:sz w:val="9"/>
                <w:szCs w:val="9"/>
                <w:color w:val="auto"/>
              </w:rPr>
            </w:pPr>
          </w:p>
        </w:tc>
        <w:tc>
          <w:tcPr>
            <w:tcW w:w="81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67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in computing net loss per share, basic and diluted</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41,129,179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39,508,193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40,988,630</w:t>
            </w:r>
          </w:p>
        </w:tc>
        <w:tc>
          <w:tcPr>
            <w:tcW w:w="3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39,222,367</w:t>
            </w:r>
          </w:p>
        </w:tc>
        <w:tc>
          <w:tcPr>
            <w:tcW w:w="60" w:type="dxa"/>
            <w:vAlign w:val="bottom"/>
            <w:shd w:val="clear" w:color="auto" w:fill="CCEEFF"/>
          </w:tcPr>
          <w:p>
            <w:pPr>
              <w:spacing w:after="0"/>
              <w:rPr>
                <w:sz w:val="18"/>
                <w:szCs w:val="18"/>
                <w:color w:val="auto"/>
              </w:rPr>
            </w:pPr>
          </w:p>
        </w:tc>
      </w:tr>
      <w:tr>
        <w:trPr>
          <w:trHeight w:val="105"/>
        </w:trPr>
        <w:tc>
          <w:tcPr>
            <w:tcW w:w="6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 w:type="dxa"/>
            <w:vAlign w:val="bottom"/>
          </w:tcPr>
          <w:p>
            <w:pPr>
              <w:spacing w:after="0"/>
              <w:rPr>
                <w:sz w:val="9"/>
                <w:szCs w:val="9"/>
                <w:color w:val="auto"/>
              </w:rPr>
            </w:pPr>
          </w:p>
        </w:tc>
        <w:tc>
          <w:tcPr>
            <w:tcW w:w="81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6700" w:type="dxa"/>
            <w:vAlign w:val="bottom"/>
            <w:tcBorders>
              <w:right w:val="single" w:sz="8" w:color="auto"/>
            </w:tcBorders>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81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r>
      <w:tr>
        <w:trPr>
          <w:trHeight w:val="319"/>
        </w:trPr>
        <w:tc>
          <w:tcPr>
            <w:tcW w:w="67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(0.32)</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gridSpan w:val="2"/>
          </w:tcPr>
          <w:p>
            <w:pPr>
              <w:jc w:val="right"/>
              <w:spacing w:after="0"/>
              <w:rPr>
                <w:sz w:val="20"/>
                <w:szCs w:val="20"/>
                <w:color w:val="auto"/>
              </w:rPr>
            </w:pPr>
            <w:r>
              <w:rPr>
                <w:rFonts w:ascii="Arial" w:cs="Arial" w:eastAsia="Arial" w:hAnsi="Arial"/>
                <w:sz w:val="18"/>
                <w:szCs w:val="18"/>
                <w:color w:val="auto"/>
              </w:rPr>
              <w:t>(0.35)</w:t>
            </w:r>
          </w:p>
        </w:tc>
      </w:tr>
      <w:tr>
        <w:trPr>
          <w:trHeight w:val="107"/>
        </w:trPr>
        <w:tc>
          <w:tcPr>
            <w:tcW w:w="6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 w:type="dxa"/>
            <w:vAlign w:val="bottom"/>
          </w:tcPr>
          <w:p>
            <w:pPr>
              <w:spacing w:after="0"/>
              <w:rPr>
                <w:sz w:val="9"/>
                <w:szCs w:val="9"/>
                <w:color w:val="auto"/>
              </w:rPr>
            </w:pPr>
          </w:p>
        </w:tc>
        <w:tc>
          <w:tcPr>
            <w:tcW w:w="81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6700" w:type="dxa"/>
            <w:vAlign w:val="bottom"/>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36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81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-1583690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-1583690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-1583690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-1583690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-1334770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-1334770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-1334770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-1334770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-1334770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-1334770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-1334770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-1334770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-631825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-631825</wp:posOffset>
            </wp:positionV>
            <wp:extent cx="215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-638175</wp:posOffset>
            </wp:positionV>
            <wp:extent cx="3873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-631825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-631825</wp:posOffset>
            </wp:positionV>
            <wp:extent cx="215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-638175</wp:posOffset>
            </wp:positionV>
            <wp:extent cx="3873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-631825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-631825</wp:posOffset>
            </wp:positionV>
            <wp:extent cx="215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-638175</wp:posOffset>
            </wp:positionV>
            <wp:extent cx="3873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-631825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-631825</wp:posOffset>
            </wp:positionV>
            <wp:extent cx="215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-638175</wp:posOffset>
            </wp:positionV>
            <wp:extent cx="3873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-346710</wp:posOffset>
            </wp:positionV>
            <wp:extent cx="16249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2496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-346710</wp:posOffset>
            </wp:positionV>
            <wp:extent cx="2984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-38100</wp:posOffset>
            </wp:positionV>
            <wp:extent cx="139319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93190" cy="3873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-38100</wp:posOffset>
            </wp:positionV>
            <wp:extent cx="2984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-38100</wp:posOffset>
            </wp:positionV>
            <wp:extent cx="2984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1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16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March 2002 we were named as defendants in a complaint filed in Michigan state court. The plaintiffs are seeking damages for the alleged breach of a joint venture agreement, the breach of fiduciary duties, the misappropriation of trade secrets, and the commission of other torts relating to this joint venture. Further detail is provided later in this document under the Legal Proceedings section (Item 1) of Part II. This proceeding is still in the early stages of discovery. Given the early stage of this action, the uncertainty of the outcome and our belief that the claims have no merit, we believe it is premature to reserve any amount for potential damages assessed against us.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6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appearing elsewhere in this Form 10-Q and within our Form 10-K for the year ending December 31, 2001.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Among the important factors which could cause actual results to differ materially include: inability to accurately predict revenue and budget for expenses for future periods; fluctuations in revenue and operating results; overall market performance, particularly in the primary markets served by our products, and continued decreases and/or delays in capital spending; a slowing global economy; inability to manufacture products of the quality necessary to be accepted in the power quality market; inability to expand our distribution channels; our dependence on our relationship with Caterpillar; inability to successfully integrate new OEM channel partners; competition; delays in research and development; inventory risks; risks of delay or poor execution from a variety of sources; limited resources; dependence upon key personnel; inability to protect our intellectual property rights, including the possibility of an adverse outcome in the litigation in which we are currently engaged; potential future acquisitions; and the volatility of our stock price regardless of our actual financial performance. The discussion below addresses some of these factors. Additional risks and uncertainties that we are unaware of or that we currently deem immaterial also may become important factors that affect us.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40" w:firstLine="456"/>
        <w:spacing w:after="0" w:line="279"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Inc., the leading maker of engine generators for the power reliability market, we have developed a battery-free uninterruptible power supply (UPS), which is marketed under the Caterpillar brand name as the 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We have also developed a battery-free DC system that is compatible with all major UPS brands, CleanSource2 DC. We sell our CleanSource2 DC products primarily through Powerware, for whom we are an original equipment manufacturer, or OEM. Our products are sold for use in the facilities of companies across many different industries that all share a critical need for reliable, high-quality power, such as plastic manufacturers, hospitals, credit card processing centers, broadcasters, semiconductor manufacturers, data centers, and electric utilities.</w:t>
      </w:r>
    </w:p>
    <w:p>
      <w:pPr>
        <w:spacing w:after="0" w:line="113" w:lineRule="exact"/>
        <w:rPr>
          <w:sz w:val="20"/>
          <w:szCs w:val="20"/>
          <w:color w:val="auto"/>
        </w:rPr>
      </w:pPr>
    </w:p>
    <w:p>
      <w:pPr>
        <w:ind w:right="180" w:firstLine="456"/>
        <w:spacing w:after="0" w:line="235" w:lineRule="auto"/>
        <w:rPr>
          <w:sz w:val="20"/>
          <w:szCs w:val="20"/>
          <w:color w:val="auto"/>
        </w:rPr>
      </w:pPr>
      <w:r>
        <w:rPr>
          <w:rFonts w:ascii="Arial" w:cs="Arial" w:eastAsia="Arial" w:hAnsi="Arial"/>
          <w:sz w:val="18"/>
          <w:szCs w:val="18"/>
          <w:color w:val="auto"/>
        </w:rPr>
        <w:t>Since 1996, we have focused our efforts and financial resources primarily on the design and development of our CleanSource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line of power quality products and on establishing effective OEM channels to market our products (CleanSource2 DC and CleanSource UPS). As of June 30, 2002, we had generated an accumulated deficit of $93.9 million and expect 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continue to sustain operating losses for the next several quarters. We initially funded our operations primarily through sales of shares of preferred stock, which resulted in gross proceeds of approximately $42.6 million. We believe the proceeds from our August 2000 initial public offering, approximately $138.4 million net of commissions and issuance costs, cash balances on hand prior to August 2000, cash from product revenue and development contracts will be sufficient to meet our capital requirements through at least the next three years. Our cash and investments position at June 30, 2002 was $99.6 million.</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7"/>
          <w:szCs w:val="17"/>
          <w:color w:val="auto"/>
        </w:rPr>
        <w:t>Since our inception, a small number of customers have accounted for the majority of our annual sales. During 1999, our four largest customers accounted for 89% of our sales, with our largest customer, Caterpillar and its dealer network, accounting for 39%. In 2000 and 2001, our business level with Caterpillar and its dealer network grew substantially, accounting for 96% and 87%, respectively, of our revenue due to the commercial introduction of the CleanSource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UPS product line. For the first six months of 2002, 81% of our sales were to Caterpillar and its dealer network. We expect to continue to be dependent on a few OEM customers, primarily Caterpillar, for the majority of our sales for the foreseeable future.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list represents our critical accounting policies:</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 We recognize product revenue when title transfers and our obligations are complete, usually when a unit is shipped. We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revenue related to units shipped for evaluation by the customer at the time the customer accepts the unit. We recognize development funding revenue as we achieve development milestones specified in the agreements.</w:t>
      </w:r>
    </w:p>
    <w:p>
      <w:pPr>
        <w:spacing w:after="0" w:line="127"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Bad debt. </w:t>
      </w:r>
      <w:r>
        <w:rPr>
          <w:rFonts w:ascii="Arial" w:cs="Arial" w:eastAsia="Arial" w:hAnsi="Arial"/>
          <w:sz w:val="18"/>
          <w:szCs w:val="18"/>
          <w:color w:val="auto"/>
        </w:rPr>
        <w:t>We estimate an allowance for doubtful accounts based on factors related to the credit risk of each customer. Credit losses have not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to date. If the financial condition of our customers were to deteriorate, resulting in an impairment of their ability to make payments, additional allowances may be required.</w:t>
      </w:r>
    </w:p>
    <w:p>
      <w:pPr>
        <w:spacing w:after="0" w:line="12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state inventories at the lower of cost or replacement cost, with cost being determined on a standard cost basis, which does not differ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materially from actual cost. If actual future demand or market conditions are less favorable than those projected by management, additional inventory write-downs may be required.</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Warranty costs. </w:t>
      </w:r>
      <w:r>
        <w:rPr>
          <w:rFonts w:ascii="Arial" w:cs="Arial" w:eastAsia="Arial" w:hAnsi="Arial"/>
          <w:sz w:val="18"/>
          <w:szCs w:val="18"/>
          <w:color w:val="auto"/>
        </w:rPr>
        <w:t>We provide for the estimated cost of product warranties at the time revenue is recognized. While we engage in product quality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processes, our warranty obligation is affected by product failure rates, material usage and service delivery costs incurred in correcting a product failure. Should actual product failure rates, material usage or service delivery costs differ from our estimates, revisions to the estimated warranty liability may be required.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Product revenue. </w:t>
      </w:r>
      <w:r>
        <w:rPr>
          <w:rFonts w:ascii="Arial" w:cs="Arial" w:eastAsia="Arial" w:hAnsi="Arial"/>
          <w:sz w:val="18"/>
          <w:szCs w:val="18"/>
          <w:color w:val="auto"/>
        </w:rPr>
        <w:t>Product revenue primarily consists of sales of our CleanSource line of power quality products. Sales decreased $4.6 million, or 69%,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$2.1 million for the three months ended June 30, 2002, from $6.7 million for the three months ended June 30, 2001. For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six months ended June 30, sales decreased $6.6 million, or 56%, to $5.2 million in 2002 from $11.8 million in the same period of 2001. We believe this decrease was primarily attributable to a significant reduction in the market for capital equipment due, in large part, to the overall economic slowdown that has taken place in the United States and globally. In the six months ended June 30, 2002, we sold 89 quarter-megawatt flywheel units, while we sold 206 quarter-megawatt flywheel units for the same period of 2001. Approximately 80% of the units shipped in the first six months of 2001 and 71% of the units shipped in the same period of 2002 were sold to our CleanSource UPS OEM partner, Caterpillar.</w:t>
      </w:r>
    </w:p>
    <w:p>
      <w:pPr>
        <w:spacing w:after="0" w:line="10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Development contract revenue. </w:t>
      </w:r>
      <w:r>
        <w:rPr>
          <w:rFonts w:ascii="Arial" w:cs="Arial" w:eastAsia="Arial" w:hAnsi="Arial"/>
          <w:sz w:val="16"/>
          <w:szCs w:val="16"/>
          <w:color w:val="auto"/>
        </w:rPr>
        <w:t>Development contract revenue primarily consists of funding paid to us by Caterpillar. In 1999 we entered into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with Caterpillar to develop the Cat UPS. As part of that agreement Caterpillar provided us with $5.0 million in funding for the successful completion of several development milestones. In September 2001 we signed an extension to our development agreement with Caterpillar to expand the Cat UPS product line. The extension calls for an additional $5.0 million in funding upon successful completion of certain development milestones. Since December 2001 we have completed three milestones and collected $3.0 million, with $2.0 million of that coming in the first six months of 2002. There was no development contract revenue recorded in the first six months of 2001.</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includes the cost of component parts of our product that are sourced from suppliers, personnel,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other costs associated with our assembly and test operations, shipping costs, and the costs of manufacturing support functions such as logistics and quality assurance. Cost of product revenue decreased $3.7 million, or 51%, to $3.6 million for the three months ended June 30, 2002, from $7.3 million for the three months ended June 30, 2001. For the six months ended June 30, cost of product revenue decreased $5.7 million, or 41%, to $8.1 million in 2002 from $13.8 million in the same period of 2001. This decrease was primarily due to the lower sales activity in 2002 compared to the same period of 2001. In anticipation of future demand for our products, we significantly expanded our manufacturing capacity by increasing our manufacturing facilities, which has increased our fixed manufacturing expense base. This increase will adversely impact our gross margins until production volumes increase enough to cover these added costs. While our variable product margin (sales less materials and direct labor) was positive in the first six months of 2002, our overall product margin was negative due, in large part, to the underutilization of our indirect manufacturing costs. Over time, we believe gross margins should improve as we increase product volumes, achieve greater economies of scale in production and in purchasing component parts, and introduce additional engineering design savings.</w:t>
      </w:r>
    </w:p>
    <w:p>
      <w:pPr>
        <w:spacing w:after="0" w:line="10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of development contract. </w:t>
      </w:r>
      <w:r>
        <w:rPr>
          <w:rFonts w:ascii="Arial" w:cs="Arial" w:eastAsia="Arial" w:hAnsi="Arial"/>
          <w:sz w:val="16"/>
          <w:szCs w:val="16"/>
          <w:color w:val="auto"/>
        </w:rPr>
        <w:t>Cost of development contract primarily consists of engineering expenses incurred related to the joint development process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Caterpillar, through which we receive development funding. For the three months ended June 30, 2002, we incurred approximately $803,000 in development contract expenses, and $1.5 million for the six months ended June 30, 2002. We had no development contract expenses for the same period in 2001. The margins we achieve in our development funding activities can vary considerably depending on the difficulty of each development milestone, the level of contract development we purchase from third parties and level of materials purchased.</w:t>
      </w:r>
    </w:p>
    <w:p>
      <w:pPr>
        <w:spacing w:after="0" w:line="10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engineering activities, third party consulting and development activities, as well as an allocated portion of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occupancy costs. Research and development expense decreased $1.3 million, or 34%, to $2.7 million for the three months ended June 30, 2002, from $4.0 million for the three months ended June 30, 2001. For the six months ended June 30, research and development expense decreased $2.3 million, or 30%, to $5.3 million in 2002 from $7.6 million in the same period of 2001. The decrease in research and development expense was driven primarily by two principal factors. The first factor was a significant reduction in development spending on a low power telecom product. Although many of the internal resources committed to this effort have been redirected to other new product initiatives, such as our high power UPS product line extension, the level of contract development we purchase from third parties has been significantly reduced, thereby reducing our overall spending levels. The second factor was the separation of costs associated with the development of our high power UPS product line extension. These costs have been separated from R&amp;D and recorded as a separate line on the income statement, called “cost of development contract” (see above). The impact this separate accounting for the cost of development contract has on what is reported as R&amp;D spending will vary according to the level of activity and assignment of personnel on development contract projects. We believe that research and development expenses will remain relatively flat for the next several quarters, but will decrease as a percentage of sales over time with anticipated increases in revenue.</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is primarily comprised of compensation and related costs for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marketing and administrative personnel, selling and marketing expenses, professional fees, and for product warranty and bad debt costs and reserves. Selling, general and administrative expense increased approximately $0.2 million, or 6%, to $3.1 million for the three months ended June 30, 2002, from $2.9 million for the three months ended June 30, 2001. For the six months ended June 30, selling, general and administrative expense increased $0.6 million, or 10%, to $6.2 million in 2002 from $5.6 million in the same period of 2001. The increase in selling, general and administrative expense was principally due to an increase of personnel in sales, service and marketing to support our OEM channel partners’ sales and service ramp up. We believe that selling, general and administrative expense will increase slightly in future periods due primarily to higher warranty costs and sales commissions associated with anticipated future sales growth.</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Amortization of deferred stock compensation. </w:t>
      </w:r>
      <w:r>
        <w:rPr>
          <w:rFonts w:ascii="Arial" w:cs="Arial" w:eastAsia="Arial" w:hAnsi="Arial"/>
          <w:sz w:val="16"/>
          <w:szCs w:val="16"/>
          <w:color w:val="auto"/>
        </w:rPr>
        <w:t>Deferred stock compensation is a non-cash expense that reflects the difference between the exercise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option grants to employees and the estimated fair value determined subsequently by us of our common stock at the date of grant. We are amortizing deferred stock compensation as an operating expense over the vesting periods of the applicable options, which resulted in amortization expense of $459,000 for the three months ended June 30, 2002 and $985,000 for the three months ended June 30, 2001. For the six months ended June 30, amortization expense decreased $1.2 million, or 52%, to $1.1 million in 2002 from $2.3 million in the same period of 2001. We expect this amortization expense to decrease in the future, as the options for which we are amortizing this expense become fully vested and, to a lesser extent, as some employees to whom these options were granted leave the company and any unvested options are canceled.</w:t>
      </w:r>
    </w:p>
    <w:p>
      <w:pPr>
        <w:spacing w:after="0" w:line="10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decreased $834,000, or 50%, to $828,000 for the three months ended June 30, 2002, from $1.7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2001. For the six months ended June 30, interest income decreased $2.2 million, or 56%, to $1.7 million in 2002 from $3.9 million in the same period of 2001. This decrease is attributable to two factors. First, there was a decrease in our average cash and investments balance for the six-month period of 2002 of $102.8 million compared to an average cash and investments balance of $136.6</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million for the second quarter of 2001. Second, the average rate of return on our investments dropped significantly from the first quarter of 2001 to the same period in 2002, as interest rates in the financial markets have declined over the past year.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 of liquidity as of June 30, 2002 consisted of $99.6 million of cash, cash equivalents and investments.</w:t>
      </w:r>
    </w:p>
    <w:p>
      <w:pPr>
        <w:spacing w:after="0" w:line="15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August 2000, we completed a successful initial public offering, raising approximately $138.4 million, net of commissions and issuance expenses. This was in addition to our private financing efforts, which included the sale of shares of our preferred stock, resulting in gross proceeds of approximately $42.6 million, and $8.0 million in development funding received from Caterpillar since 1999. During the six months ended June 30, 2002, cash used by operating activities increased by $1.0 million, or 9%, to $12.5 million, compared to $11.5 million for the same period in 2001.</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six months ended June 30, capital expenditures decreased $4.5 million, or 88%, to $592,000 in 2002 from $5.1 million for the same period of 2001. Our expenditures in 2001 were primarily attributable to the increase in our manufacturing capacity, including several new product test lines and leasehold improvements for our new manufacturing facility. In 2002 our expenditures were limited to leasehold improvements to our engineering testing facilities and other general computer equipment and software for administrative purposes. We expect to incur approximately $1.0 to $2.0 million in additional capital expenditures for the balance of 2002 primarily on additional engineering lab equipment and improvements, demonstration units, and general computer equipment and software for manufacturing, engineering and administrative purposes.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our existing cash balance at June 30, 2002 will be sufficient to meet our capital requirements through at least the next three years, although we might elect to seek additional funding prior to that time. Beyond the next three years, our capital requirements will depend on many factors, including the rate of sales growth, the market acceptance of our products, the timing and level of development funding,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interest income by approximately $1 million. Because of the short-term nature of the majority of our investments, we do not believe a 1% decline in interest rates would have a material effect on their fair value.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200" w:lineRule="exact"/>
        <w:rPr>
          <w:sz w:val="20"/>
          <w:szCs w:val="20"/>
          <w:color w:val="auto"/>
        </w:rPr>
      </w:pPr>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That May Affect Future Results</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In addition to the other information in this Form 10-Q, the following factors should be considered in evaluating Active Power and our business. These factors include, but are not limited to, the potential for significant losses to continue; inability to accurately predict revenue and budget for expenses for future periods; fluctuations in revenue and operating results; overall market performance; a slowing global economy, particularly in the primary markets served by our products, and continued decreases and/or delays in capital spending; limited product lines; inability to manufacture products of the quality necessary to be accepted in the power quality market; inability to expand our distribution channels; our dependence on our relationship with Caterpillar; inability to successfully integrate new OEM channel partners; competition; delays in research and development; inability to increase sales volumes to fully utilize our increased manufacturing capacity; inventory risks; risks of delay or poor execution from a variety of sources; limited resources; dependence upon key personnel; inability to protect our intellectual property rights, including the possibility of an adverse outcome in the litigation in which we are currently engaged; potential future acquisitions; and the volatility of our stock price regardless of our actual financial performance. The discussion below addresses some of these factors. Additional risks and uncertainties that we are unaware of or that we currently deem immaterial also may become important factors that affect 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the next several quarters.</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incurred operating losses since our inception and expect to continue to incur losses for the next several quarters. As of June 30, 2002, we had an accumulated deficit of $93.9 million. To date, we have funded our operations principally through the sale of our stock, our product revenue and $8.0 million in development funding payments from Caterpillar. We will need to generate significant additional revenue to achieve profitability, and we cannot assure you that we will ever realize additional revenue at such levels. We also expect to incur significant product development, sales and marketing and administrative expenses and, as a result, we expect to continue to incur losses.</w:t>
      </w:r>
    </w:p>
    <w:p>
      <w:pPr>
        <w:spacing w:after="0" w:line="123"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11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generated a total of $33.6 million in product revenue since January 1, 1998.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have expanded our staff and facilities and increased our expense levels in anticipation of future revenue growth. If our revenue does not increase as anticipated, we will continue to incur significant losses.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fluctuations in operating results, which could negatively impact the price of our stock.</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118" w:lineRule="exact"/>
        <w:rPr>
          <w:sz w:val="20"/>
          <w:szCs w:val="20"/>
          <w:color w:val="auto"/>
        </w:rPr>
      </w:pPr>
    </w:p>
    <w:p>
      <w:pPr>
        <w:ind w:left="760" w:hanging="306"/>
        <w:spacing w:after="0" w:line="26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orders from our customers and the possibility that these customers may change their order requirements with little or no advance notice to us;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adoption of our flywheel-based energy storage system as an alternative to lead-acid batteries;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deferral of customer orders in anticipation of new products from us or other providers of power quality systems;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ongoing need for short-term power outage protection in traditional UPS systems;</w:t>
      </w:r>
    </w:p>
    <w:p>
      <w:pPr>
        <w:spacing w:after="0" w:line="184" w:lineRule="exact"/>
        <w:rPr>
          <w:rFonts w:ascii="Arial" w:cs="Arial" w:eastAsia="Arial" w:hAnsi="Arial"/>
          <w:sz w:val="18"/>
          <w:szCs w:val="18"/>
          <w:color w:val="auto"/>
        </w:rPr>
      </w:pPr>
    </w:p>
    <w:p>
      <w:pPr>
        <w:ind w:left="760" w:right="200" w:hanging="306"/>
        <w:spacing w:after="0" w:line="26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uncertainty regarding the adoption of our current and future products, including our recently introduced CleanSource UPS and CleanSource2 DC products, as well as our other products, which are currently under development; and</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growth of the markets for our products.</w:t>
      </w:r>
    </w:p>
    <w:p>
      <w:pPr>
        <w:spacing w:after="0" w:line="179" w:lineRule="exact"/>
        <w:rPr>
          <w:sz w:val="20"/>
          <w:szCs w:val="20"/>
          <w:color w:val="auto"/>
        </w:rPr>
      </w:pPr>
    </w:p>
    <w:p>
      <w:pPr>
        <w:ind w:right="160"/>
        <w:spacing w:after="0" w:line="378" w:lineRule="auto"/>
        <w:rPr>
          <w:sz w:val="20"/>
          <w:szCs w:val="20"/>
          <w:color w:val="auto"/>
        </w:rPr>
      </w:pPr>
      <w:r>
        <w:rPr>
          <w:rFonts w:ascii="Arial" w:cs="Arial" w:eastAsia="Arial" w:hAnsi="Arial"/>
          <w:sz w:val="15"/>
          <w:szCs w:val="15"/>
          <w:b w:val="1"/>
          <w:bCs w:val="1"/>
          <w:color w:val="auto"/>
        </w:rPr>
        <w:t>Our business is dependent on the market for power quality products and the health of the overall economy, and if this market does not expand as we anticipate, if alternatives to our products are successful, or if the downturn in the economy continues to limit capital spending, our business will suffer.</w:t>
      </w:r>
    </w:p>
    <w:p>
      <w:pPr>
        <w:spacing w:after="0" w:line="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 Our business has suffered during the recent economic slowdown, and will continue to suffer if the slowdown continues.</w:t>
      </w:r>
    </w:p>
    <w:p>
      <w:pPr>
        <w:spacing w:after="0" w:line="10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The impact of global economic conditions on our customers may cause us to fail to meet expectations, which would negatively impact the price of our stock.</w:t>
      </w:r>
    </w:p>
    <w:p>
      <w:pPr>
        <w:spacing w:after="0" w:line="11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operating results can vary significantly based upon the impact of global economic conditions on our customers. More specifically, the macroeconomic environment and capital spending has continued to decline, exacerbated by uncertainty surrounding recent world events, and is more uncertain than in recent periods and has the potential to further materially and adversely affect us. The operating results of our business depend on the overall demand for power quality products. Because our sales are primarily to major corporate customers whose businesses fluctuate with general economic and business conditions, a softening of demand for power quality products caused by a weakening economy has resulted in decreased revenues. We may be especially prone to this as a result of the relatively high percentage of revenue we have historically derived from the high-tech industry, which appears to have been more significantly adversely impacted by the current weak economic environment. Customers may defer or reconsider purchasing our products if they continue to experience a lack of growth in their business or if the general economy fails to significantly improve.</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We have limited product offerings, and our success depends on our ability to develop in a timely manner new and enhanced products that achieve market acceptance.</w:t>
      </w:r>
    </w:p>
    <w:p>
      <w:pPr>
        <w:spacing w:after="0" w:line="11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While our products are achieving a more significant operating history at customer sites, our CleanSource2 DC and CleanSource UPS products are relatively new to the marketplace. To grow our revenue, we must rely on Powerware and Caterpillar to successfully market our DC and UPS products, respectively, and we must develop and introduce to the market new products and product enhancements in a timely manner. Even if we are able to develop and commercially introduce new products and enhancements, they may not achieve market acceptance, which would substantially impair our revenue, profitability and overall financial prospects.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expand our distribution channels and manage our distribution relationships could impede our future growth.</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relationships with additional partners that could serve as distributors for our products. Our inability to successfully execute this strategy could impede our future growth.</w:t>
      </w:r>
    </w:p>
    <w:p>
      <w:pPr>
        <w:spacing w:after="0" w:line="93"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If our relationship is unsuccessful, for whatever reason, our business and financial prospects could suffer.</w:t>
      </w:r>
    </w:p>
    <w:p>
      <w:pPr>
        <w:spacing w:after="0" w:line="11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If our relationship with Caterpillar is not successful, or if Caterpillar’s distribution of the Cat UPS product is not successful, our business and financial prospects could suffer. During 2000 and 2001, our business level with Caterpillar and its dealer network accounted for 96% and 87% of our product revenue, respectively. For the first six months of 2002, 81% of our sales were to Caterpillar and its dealer network. Pursuant to the distribution agreement with Caterpillar, they are the exclusive distributor, subject to limited exceptions, of our CleanSource UPS product. Caterpillar is not obligated to purchase any CleanSource UPS units. Through June30, 2002, Caterpillar has provided us with $8.0 million in funding, as part of our development agreements, to support the development of the Cat UPS product and other development efforts. In exchange for these payments, Caterpillar received co-ownership of the proprietary rights in this product. Either Caterpillar or we may license to other entities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 We also have a distribution agreement with Caterpillar.</w:t>
      </w:r>
    </w:p>
    <w:p>
      <w:pPr>
        <w:spacing w:after="0" w:line="10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We depend on a limited number of OEM customers for the vast majority of our revenue and service and support functions. The loss or significant reduction in orders, or the failure to provide adequate service and support to the end users of our products, from any key OEM customer, particularly Caterpillar or Powerware, would significantly reduce our revenue.</w:t>
      </w:r>
    </w:p>
    <w:p>
      <w:pPr>
        <w:spacing w:after="0" w:line="12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rely on OEM customers as a primary distribution channel because they are able to sell our products to a large number of end user organizations. We further rely on our OEM</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customers to provide service and support to the end users of our products because they have the experience and personnel to perform such activities. We believe that the use of OEM channels will enable our products to achieve broad market penetration, while we devote a limited amount of our resources to sales, marketing and customer service and support. Our operating results in the foreseeable future will continue to depend on sales to a relatively small number of OEM customers, primarily Caterpillar. For example, in 2000 and 2001, our volume of business with Caterpillar and its dealers accounted for 96% and 87% of our product revenue, respectively. Therefore, the loss of our key OEM customer, Caterpillar, or a significant reduction in sales to Caterpillar and its dealers, would significantly reduce our revenue. We have granted Caterpillar semi-exclusive worldwide rights to distribute our UPS product, provided that they meet minimum annual sales requirements. We have also granted Powerware semi-exclusive distribution rights to our CleanSource2 DC product in North America. Because we have entered into exclusive or semi-exclusive agreements for the distribution of our products with a very limited number of OEM customers, the failure of any one of these relationships, particularly Caterpillar or Powerware, could negatively impact our revenue.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experience manufacturing our products in the quantities we expect to sell in the future.</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quality levels achieved in manufacturing these products in more limited quantities. This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0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expanded our manufacturing facility based on our forecasted sales volumes in the future. If we do not achieve these forecasted sales volumes, we will underutilize our manufacturing capacity and our business will suffer.</w:t>
      </w:r>
    </w:p>
    <w:p>
      <w:pPr>
        <w:spacing w:after="0" w:line="11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May 2001, we completed a 127,000 square foot facility used for manufacturing and testing our three-phase product line, including our DC and UPS products. In order for us to fully utilize the capacity of the facility and spread out its associated overhead, we must achieve significantly higher sales volumes. If we do not reach these sales volumes, or if we cannot sell our products at our suggested prices, our ability to reach profitability will be materially limited.</w:t>
      </w:r>
    </w:p>
    <w:p>
      <w:pPr>
        <w:spacing w:after="0" w:line="8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Quality problems relating to one or more of our new or existing products could negatively impact the market’s acceptance of our products and cause us to miss our revenue goals and/or to incur significant liability.</w:t>
      </w:r>
    </w:p>
    <w:p>
      <w:pPr>
        <w:spacing w:after="0" w:line="11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Because of the nature of the power quality and reliability market, quality problems attributable to the CleanSource DC or UPS product lines could significantly affect the market’s perception of our technology and slow or limit their acceptance. This would substantially impair our revenue prospects. Moreover, quality problems for our product lines could cause us to delay or cease shipments of products, or recall products, thus impairing our revenue or cost targets. In addition, while we seek to limit our liability as a result of product failures or defects through</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warranty and other limitations, if one of our products fails then a customer could suffer a significant loss and seek to hold us responsible for that loss.</w:t>
      </w:r>
    </w:p>
    <w:p>
      <w:pPr>
        <w:spacing w:after="0" w:line="175"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are subject to increased inventory risks and costs because we outsource the manufacturing of components of our products in advance of binding commitments from our customers to purchase our products.</w:t>
      </w:r>
    </w:p>
    <w:p>
      <w:pPr>
        <w:spacing w:after="0" w:line="11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assure the availability of our products to our OEM customers, we outsource the manufacturing of components prior to the receipt of purchase orders from OEM customers based on their forecasts of their product needs. However, these forecasts do not represent binding purchase commitments, and we do not recognize revenue for such products until the product is shipped to the OEM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2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11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At current sales levels we purchase several component parts from sole source suppliers.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result in delays. Manufacturing delays could negatively impact our ability to sell our products and could damage our customer relationships.</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12"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We believe our future success will depend in large part upon our ability to attract and retain highly skilled managerial, engineering and sales and marketing personnel. There is a limited supply of skilled employees in the power quality marketplace. The decline in our stock price has resulted in a substantial number of “underwater” options, which may cause certain of our employees to seek employment elsewhere as a result of this decreased financial incentive. If we are unable to retain the personnel we currently employ, or if we are unable to quickly replace departing employees, our operations and new product development may suffer.</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are a relatively small company with limited resources compared to some of our current and potential competitors, and competition within our markets may limit our sales growth.</w:t>
      </w:r>
    </w:p>
    <w:p>
      <w:pPr>
        <w:spacing w:after="0" w:line="11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intellectual property, we may be unable to compete.</w:t>
      </w:r>
    </w:p>
    <w:p>
      <w:pPr>
        <w:spacing w:after="0" w:line="16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0"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Our efforts to protect our intellectual property may cause us to become involved in costly and lengthy litigation, which could seriously harm our business.</w:t>
      </w:r>
    </w:p>
    <w:p>
      <w:pPr>
        <w:spacing w:after="0" w:line="11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For example, we were recently named in a</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lawsuit, along with Joe Pinkerton, our chairman and CEO, alleging the misappropriation of trade secrets that we describe in further detail in “Legal Proceedings” below. We may become involved in additional litigation in the future to protect our intellectual property or defend allegations of infringement asserted by others. Legal proceedings, including the current lawsuit in which we are named as a defendant,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102" w:lineRule="exact"/>
        <w:rPr>
          <w:sz w:val="20"/>
          <w:szCs w:val="20"/>
          <w:color w:val="auto"/>
        </w:rPr>
      </w:pPr>
    </w:p>
    <w:p>
      <w:pPr>
        <w:ind w:left="760" w:hanging="306"/>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184" w:lineRule="exact"/>
        <w:rPr>
          <w:rFonts w:ascii="Arial" w:cs="Arial" w:eastAsia="Arial" w:hAnsi="Arial"/>
          <w:sz w:val="18"/>
          <w:szCs w:val="18"/>
          <w:color w:val="auto"/>
        </w:rPr>
      </w:pPr>
    </w:p>
    <w:p>
      <w:pPr>
        <w:ind w:left="760" w:right="20" w:hanging="306"/>
        <w:spacing w:after="0" w:line="268"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Although we are not currently negotiating any material business or technology acquisitions, as part of our growth strategy, we intend to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30" w:lineRule="exact"/>
        <w:rPr>
          <w:sz w:val="20"/>
          <w:szCs w:val="20"/>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our management;</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companies;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coordinating and integrating overall business strategies, sales and marketing, and research and development efforts;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maintenance of corporate cultures, controls, procedures and policies;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 and</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16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or the development of our manufacturing capabilities with our revenue, cash on hand and proceeds from our initial public offering. We expect that our current cash and investments, together with our other available sources of working capital, will be sufficient to fund development activities for at least three years.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reduce, delay or eliminate certain activities or to license or sell to others some of our proprietary technology.</w:t>
      </w:r>
    </w:p>
    <w:p>
      <w:pPr>
        <w:spacing w:after="0" w:line="15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112"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acquirors and may substantially limit the number of possible acquirors. All of these factors may decrease the likelihood that we would be acquired, which may depress the market price of our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164"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From January 1, 2001 through June 30, 2002, the market price of our common stock has fluctuated between $3.13 and $31.50 per share. The market price of our common stock can be expected to fluctuate significantly in response to numerous factors, some of which are beyond our control, including the following:</w:t>
      </w:r>
    </w:p>
    <w:p>
      <w:pPr>
        <w:spacing w:after="0" w:line="49" w:lineRule="exact"/>
        <w:rPr>
          <w:sz w:val="20"/>
          <w:szCs w:val="20"/>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184" w:lineRule="exact"/>
        <w:rPr>
          <w:rFonts w:ascii="Arial" w:cs="Arial" w:eastAsia="Arial" w:hAnsi="Arial"/>
          <w:sz w:val="18"/>
          <w:szCs w:val="18"/>
          <w:color w:val="auto"/>
        </w:rPr>
      </w:pPr>
    </w:p>
    <w:p>
      <w:pPr>
        <w:ind w:left="760" w:right="1040" w:hanging="306"/>
        <w:spacing w:after="0" w:line="268"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118" w:lineRule="exact"/>
        <w:rPr>
          <w:rFonts w:ascii="Arial" w:cs="Arial" w:eastAsia="Arial" w:hAnsi="Arial"/>
          <w:sz w:val="18"/>
          <w:szCs w:val="18"/>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one or more key OEM customers; and</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information is included in the section captioned “Quantitative and Qualitative Disclosures About Market Risk” in Item 2. Management’s Discussion and Analysis of Financial Condition and Results of Operations.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ACTIVE POWER, INC.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March 25, 2002, we, along with Joseph F. Pinkerton, III, our chairman and chief executive officer, Pinkerton Generator, Inc. (a corporation in which Mr. Pinkerton was an officer, director and the primary shareholder), and Caterpillar Inc. were named as defendants in a complaint filed in Michigan state court in the Circuit Court for the County of Wayne. The plaintiffs, Magnex Corporation, Enigma Corporation and Bergeron Corporation, and their individual principals, are seeking damages for: the alleged breach of a joint venture agreement dated June 23, 1989, which was entered into by and among Pinkerton Generator, Inc., Magnex Corp. and Enigma Corp.; the breach of fiduciary duties; the misappropriation of trade secrets; and the commission of other torts relating to this joint venture. Neither Active Power nor any of its predecessors in interest was a party to the joint venture agreement. A First Amended Complaint was filed on April 16, 2002. We were not served with the Original Complaint and Amended Complaint until April 19, 2002. This proceeding is still in the early stages of discovery. Both Mr. Pinkerton and we believe the claims have no merit, deny the allegations in the complaint and intend to defend ourselves vigorously.</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Changes in Securities and Use of Proceeds.</w:t>
      </w:r>
    </w:p>
    <w:p>
      <w:pPr>
        <w:spacing w:after="0" w:line="164"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During the second quarter of 2002, we issued an aggregate of 269,470 shares of our common stock pursuant to exercises of stock options that were granted prior to August 7, 2000 with exercise prices ranging from $0.07 to $1.39 per share. These issuances were deemed exempt from registration under Section 5 of the Securities Act of 1933 in reliance upon Rule 701 thereunder and appropriate legends were affixed to the share certificates issued in each such transaction.</w:t>
      </w:r>
    </w:p>
    <w:p>
      <w:pPr>
        <w:spacing w:after="0" w:line="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6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our annual meeting of stockholders held on April 25, 2002, our stockholders voted on the following matters:</w:t>
      </w:r>
    </w:p>
    <w:p>
      <w:pPr>
        <w:spacing w:after="0" w:line="158" w:lineRule="exact"/>
        <w:rPr>
          <w:sz w:val="20"/>
          <w:szCs w:val="20"/>
          <w:color w:val="auto"/>
        </w:rPr>
      </w:pPr>
    </w:p>
    <w:p>
      <w:pPr>
        <w:ind w:right="600" w:firstLine="464"/>
        <w:spacing w:after="0" w:line="268" w:lineRule="auto"/>
        <w:tabs>
          <w:tab w:leader="none" w:pos="8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election of two Class II directors to serve until our 2005 annual meeting or until his or her successor has been elected and qualified. The nominees of the board of directors were elected by the following vote:</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18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Shares</w:t>
            </w:r>
          </w:p>
        </w:tc>
      </w:tr>
      <w:tr>
        <w:trPr>
          <w:trHeight w:val="174"/>
        </w:trPr>
        <w:tc>
          <w:tcPr>
            <w:tcW w:w="3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Class II Director</w:t>
            </w:r>
          </w:p>
        </w:tc>
        <w:tc>
          <w:tcPr>
            <w:tcW w:w="9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Voted in Favor</w:t>
            </w:r>
          </w:p>
        </w:tc>
        <w:tc>
          <w:tcPr>
            <w:tcW w:w="10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Voted Opposed</w:t>
            </w:r>
          </w:p>
        </w:tc>
        <w:tc>
          <w:tcPr>
            <w:tcW w:w="1180" w:type="dxa"/>
            <w:vAlign w:val="bottom"/>
          </w:tcPr>
          <w:p>
            <w:pPr>
              <w:spacing w:after="0"/>
              <w:rPr>
                <w:sz w:val="15"/>
                <w:szCs w:val="15"/>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Withheld</w:t>
            </w:r>
          </w:p>
        </w:tc>
      </w:tr>
      <w:tr>
        <w:trPr>
          <w:trHeight w:val="105"/>
        </w:trPr>
        <w:tc>
          <w:tcPr>
            <w:tcW w:w="34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r>
      <w:tr>
        <w:trPr>
          <w:trHeight w:val="105"/>
        </w:trPr>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216"/>
        </w:trPr>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Jan H. Lindelow</w:t>
            </w:r>
          </w:p>
        </w:tc>
        <w:tc>
          <w:tcPr>
            <w:tcW w:w="2140" w:type="dxa"/>
            <w:vAlign w:val="bottom"/>
            <w:gridSpan w:val="2"/>
            <w:shd w:val="clear" w:color="auto" w:fill="CCEEFF"/>
          </w:tcPr>
          <w:p>
            <w:pPr>
              <w:jc w:val="center"/>
              <w:ind w:left="892"/>
              <w:spacing w:after="0"/>
              <w:rPr>
                <w:sz w:val="20"/>
                <w:szCs w:val="20"/>
                <w:color w:val="auto"/>
              </w:rPr>
            </w:pPr>
            <w:r>
              <w:rPr>
                <w:rFonts w:ascii="Arial" w:cs="Arial" w:eastAsia="Arial" w:hAnsi="Arial"/>
                <w:sz w:val="18"/>
                <w:szCs w:val="18"/>
                <w:color w:val="auto"/>
                <w:w w:val="88"/>
              </w:rPr>
              <w:t>28,592,895</w:t>
            </w:r>
          </w:p>
        </w:tc>
        <w:tc>
          <w:tcPr>
            <w:tcW w:w="2220" w:type="dxa"/>
            <w:vAlign w:val="bottom"/>
            <w:gridSpan w:val="2"/>
            <w:shd w:val="clear" w:color="auto" w:fill="CCEEFF"/>
          </w:tcPr>
          <w:p>
            <w:pPr>
              <w:jc w:val="center"/>
              <w:ind w:left="932"/>
              <w:spacing w:after="0"/>
              <w:rPr>
                <w:sz w:val="20"/>
                <w:szCs w:val="20"/>
                <w:color w:val="auto"/>
              </w:rPr>
            </w:pPr>
            <w:r>
              <w:rPr>
                <w:rFonts w:ascii="Arial" w:cs="Arial" w:eastAsia="Arial" w:hAnsi="Arial"/>
                <w:sz w:val="18"/>
                <w:szCs w:val="18"/>
                <w:color w:val="auto"/>
                <w:w w:val="79"/>
              </w:rPr>
              <w:t>0</w:t>
            </w:r>
          </w:p>
        </w:tc>
        <w:tc>
          <w:tcPr>
            <w:tcW w:w="2040" w:type="dxa"/>
            <w:vAlign w:val="bottom"/>
            <w:gridSpan w:val="2"/>
            <w:shd w:val="clear" w:color="auto" w:fill="CCEEFF"/>
          </w:tcPr>
          <w:p>
            <w:pPr>
              <w:jc w:val="center"/>
              <w:ind w:left="1072"/>
              <w:spacing w:after="0"/>
              <w:rPr>
                <w:sz w:val="20"/>
                <w:szCs w:val="20"/>
                <w:color w:val="auto"/>
              </w:rPr>
            </w:pPr>
            <w:r>
              <w:rPr>
                <w:rFonts w:ascii="Arial" w:cs="Arial" w:eastAsia="Arial" w:hAnsi="Arial"/>
                <w:sz w:val="18"/>
                <w:szCs w:val="18"/>
                <w:color w:val="auto"/>
                <w:w w:val="86"/>
              </w:rPr>
              <w:t>251,449</w:t>
            </w:r>
          </w:p>
        </w:tc>
        <w:tc>
          <w:tcPr>
            <w:tcW w:w="540" w:type="dxa"/>
            <w:vAlign w:val="bottom"/>
            <w:shd w:val="clear" w:color="auto" w:fill="CCEEFF"/>
          </w:tcPr>
          <w:p>
            <w:pPr>
              <w:spacing w:after="0"/>
              <w:rPr>
                <w:sz w:val="18"/>
                <w:szCs w:val="18"/>
                <w:color w:val="auto"/>
              </w:rPr>
            </w:pPr>
          </w:p>
        </w:tc>
      </w:tr>
      <w:tr>
        <w:trPr>
          <w:trHeight w:val="222"/>
        </w:trPr>
        <w:tc>
          <w:tcPr>
            <w:tcW w:w="3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Terrence L. Rock</w:t>
            </w:r>
          </w:p>
        </w:tc>
        <w:tc>
          <w:tcPr>
            <w:tcW w:w="2140" w:type="dxa"/>
            <w:vAlign w:val="bottom"/>
            <w:gridSpan w:val="2"/>
          </w:tcPr>
          <w:p>
            <w:pPr>
              <w:jc w:val="center"/>
              <w:ind w:left="892"/>
              <w:spacing w:after="0"/>
              <w:rPr>
                <w:sz w:val="20"/>
                <w:szCs w:val="20"/>
                <w:color w:val="auto"/>
              </w:rPr>
            </w:pPr>
            <w:r>
              <w:rPr>
                <w:rFonts w:ascii="Arial" w:cs="Arial" w:eastAsia="Arial" w:hAnsi="Arial"/>
                <w:sz w:val="18"/>
                <w:szCs w:val="18"/>
                <w:color w:val="auto"/>
                <w:w w:val="88"/>
              </w:rPr>
              <w:t>28,606,754</w:t>
            </w:r>
          </w:p>
        </w:tc>
        <w:tc>
          <w:tcPr>
            <w:tcW w:w="2220" w:type="dxa"/>
            <w:vAlign w:val="bottom"/>
            <w:gridSpan w:val="2"/>
          </w:tcPr>
          <w:p>
            <w:pPr>
              <w:jc w:val="center"/>
              <w:ind w:left="932"/>
              <w:spacing w:after="0"/>
              <w:rPr>
                <w:sz w:val="20"/>
                <w:szCs w:val="20"/>
                <w:color w:val="auto"/>
              </w:rPr>
            </w:pPr>
            <w:r>
              <w:rPr>
                <w:rFonts w:ascii="Arial" w:cs="Arial" w:eastAsia="Arial" w:hAnsi="Arial"/>
                <w:sz w:val="18"/>
                <w:szCs w:val="18"/>
                <w:color w:val="auto"/>
                <w:w w:val="79"/>
              </w:rPr>
              <w:t>0</w:t>
            </w:r>
          </w:p>
        </w:tc>
        <w:tc>
          <w:tcPr>
            <w:tcW w:w="2040" w:type="dxa"/>
            <w:vAlign w:val="bottom"/>
            <w:gridSpan w:val="2"/>
          </w:tcPr>
          <w:p>
            <w:pPr>
              <w:jc w:val="center"/>
              <w:ind w:left="1072"/>
              <w:spacing w:after="0"/>
              <w:rPr>
                <w:sz w:val="20"/>
                <w:szCs w:val="20"/>
                <w:color w:val="auto"/>
              </w:rPr>
            </w:pPr>
            <w:r>
              <w:rPr>
                <w:rFonts w:ascii="Arial" w:cs="Arial" w:eastAsia="Arial" w:hAnsi="Arial"/>
                <w:sz w:val="18"/>
                <w:szCs w:val="18"/>
                <w:color w:val="auto"/>
                <w:w w:val="86"/>
              </w:rPr>
              <w:t>252,874</w:t>
            </w:r>
          </w:p>
        </w:tc>
        <w:tc>
          <w:tcPr>
            <w:tcW w:w="540" w:type="dxa"/>
            <w:vAlign w:val="bottom"/>
          </w:tcPr>
          <w:p>
            <w:pPr>
              <w:spacing w:after="0"/>
              <w:rPr>
                <w:sz w:val="19"/>
                <w:szCs w:val="19"/>
                <w:color w:val="auto"/>
              </w:rPr>
            </w:pPr>
          </w:p>
        </w:tc>
      </w:tr>
      <w:tr>
        <w:trPr>
          <w:trHeight w:val="42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20</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1924050</wp:posOffset>
            </wp:positionH>
            <wp:positionV relativeFrom="paragraph">
              <wp:posOffset>-628650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-628650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-628650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-628650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-628650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-628650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-628650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-628650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40" w:firstLine="464"/>
        <w:spacing w:after="0" w:line="268" w:lineRule="auto"/>
        <w:tabs>
          <w:tab w:leader="none" w:pos="8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 the appointment of Ernst &amp; Young LLP as independent auditors for the fiscal year ending December 31, 2002. The appointment was approved by a vote of 28,592,895 shares in favor, 297,948 shares opposed and 58,785 shares abstaining.</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August 5, 2002, Mark Ascolese, the Company’s senior vice president of business development, resigned and accepted a position as the president of Powerware Americas, a member of the Invensys Energy Management Division, one of three divisions comprising U.K.-based Invensys plc. We believe that Mr. Ascolese’s position at Powerware, the semi-exclusive distributor of Active Power’s CleanSource2 DC, further strengthens the relationship between the companies. Mr. Ascolese’s responsibilities will be distributed to other members of the executive management team.</w:t>
      </w:r>
    </w:p>
    <w:p>
      <w:pPr>
        <w:spacing w:after="0" w:line="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Reports on Form 8-K.</w:t>
      </w:r>
    </w:p>
    <w:p>
      <w:pPr>
        <w:spacing w:after="0" w:line="164" w:lineRule="exact"/>
        <w:rPr>
          <w:sz w:val="20"/>
          <w:szCs w:val="20"/>
          <w:color w:val="auto"/>
        </w:rPr>
      </w:pPr>
    </w:p>
    <w:p>
      <w:pPr>
        <w:ind w:left="1280" w:hanging="377"/>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1340"/>
        <w:spacing w:after="0"/>
        <w:tabs>
          <w:tab w:leader="none" w:pos="1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Certification of Chief Executive Officer pursuant to Section 906 of Sarbanes-Oxley Act of 2002</w:t>
      </w:r>
    </w:p>
    <w:p>
      <w:pPr>
        <w:spacing w:after="0" w:line="158" w:lineRule="exact"/>
        <w:rPr>
          <w:sz w:val="20"/>
          <w:szCs w:val="20"/>
          <w:color w:val="auto"/>
        </w:rPr>
      </w:pPr>
    </w:p>
    <w:p>
      <w:pPr>
        <w:ind w:left="1340"/>
        <w:spacing w:after="0"/>
        <w:tabs>
          <w:tab w:leader="none" w:pos="1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Certification of Chief Financial Officer pursuant to Section 906 of Sarbanes-Oxley Act of 2002</w:t>
      </w:r>
    </w:p>
    <w:p>
      <w:pPr>
        <w:spacing w:after="0" w:line="158" w:lineRule="exact"/>
        <w:rPr>
          <w:sz w:val="20"/>
          <w:szCs w:val="20"/>
          <w:color w:val="auto"/>
        </w:rPr>
      </w:pPr>
    </w:p>
    <w:p>
      <w:pPr>
        <w:ind w:left="5620" w:right="2940" w:hanging="4717"/>
        <w:spacing w:after="0" w:line="691" w:lineRule="auto"/>
        <w:tabs>
          <w:tab w:leader="none" w:pos="12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quarter ended June 30, 2002, Active Power did not file any current reports on Form 8-K. 21</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261"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(Registrant)</w:t>
      </w:r>
    </w:p>
    <w:p>
      <w:pPr>
        <w:spacing w:after="0" w:line="300"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F. P</w:t>
      </w:r>
      <w:r>
        <w:rPr>
          <w:rFonts w:ascii="Arial" w:cs="Arial" w:eastAsia="Arial" w:hAnsi="Arial"/>
          <w:sz w:val="13"/>
          <w:szCs w:val="13"/>
          <w:color w:val="auto"/>
        </w:rPr>
        <w:t>INKERTON</w:t>
      </w:r>
      <w:r>
        <w:rPr>
          <w:rFonts w:ascii="Arial" w:cs="Arial" w:eastAsia="Arial" w:hAnsi="Arial"/>
          <w:sz w:val="16"/>
          <w:szCs w:val="16"/>
          <w:color w:val="auto"/>
        </w:rPr>
        <w:t>, III</w:t>
      </w:r>
    </w:p>
    <w:p>
      <w:pPr>
        <w:sectPr>
          <w:pgSz w:w="11900" w:h="16838" w:orient="portrait"/>
          <w:cols w:equalWidth="0" w:num="1">
            <w:col w:w="10920"/>
          </w:cols>
          <w:pgMar w:left="240" w:top="459" w:right="7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5"/>
          <w:szCs w:val="15"/>
          <w:color w:val="auto"/>
        </w:rPr>
        <w:t>August 9, 2002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-181610</wp:posOffset>
            </wp:positionV>
            <wp:extent cx="2525395"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25395" cy="21590"/>
                    </a:xfrm>
                    <a:prstGeom prst="rect">
                      <a:avLst/>
                    </a:prstGeom>
                    <a:noFill/>
                  </pic:spPr>
                </pic:pic>
              </a:graphicData>
            </a:graphic>
          </wp:anchor>
        </w:drawing>
      </w:r>
    </w:p>
    <w:p>
      <w:pPr>
        <w:jc w:val="center"/>
        <w:ind w:right="180"/>
        <w:spacing w:after="0"/>
        <w:rPr>
          <w:sz w:val="20"/>
          <w:szCs w:val="20"/>
          <w:color w:val="auto"/>
        </w:rPr>
      </w:pPr>
      <w:r>
        <w:rPr>
          <w:rFonts w:ascii="Arial" w:cs="Arial" w:eastAsia="Arial" w:hAnsi="Arial"/>
          <w:sz w:val="12"/>
          <w:szCs w:val="12"/>
          <w:b w:val="1"/>
          <w:bCs w:val="1"/>
          <w:color w:val="auto"/>
        </w:rPr>
        <w:t>Chairman of the Board and Chief Executive Officer</w:t>
      </w:r>
    </w:p>
    <w:p>
      <w:pPr>
        <w:spacing w:after="0" w:line="10"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ectPr>
          <w:pgSz w:w="11900" w:h="16838" w:orient="portrait"/>
          <w:cols w:equalWidth="0" w:num="2">
            <w:col w:w="7040" w:space="720"/>
            <w:col w:w="3160"/>
          </w:cols>
          <w:pgMar w:left="240" w:top="459" w:right="739" w:bottom="1440" w:gutter="0" w:footer="0" w:header="0"/>
          <w:type w:val="continuous"/>
        </w:sectPr>
      </w:pPr>
    </w:p>
    <w:p>
      <w:pPr>
        <w:spacing w:after="0" w:line="76" w:lineRule="exact"/>
        <w:rPr>
          <w:sz w:val="20"/>
          <w:szCs w:val="20"/>
          <w:color w:val="auto"/>
        </w:rPr>
      </w:pPr>
    </w:p>
    <w:p>
      <w:pPr>
        <w:ind w:left="8540"/>
        <w:spacing w:after="0"/>
        <w:tabs>
          <w:tab w:leader="none" w:pos="88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S. G</w:t>
      </w:r>
      <w:r>
        <w:rPr>
          <w:rFonts w:ascii="Arial" w:cs="Arial" w:eastAsia="Arial" w:hAnsi="Arial"/>
          <w:sz w:val="13"/>
          <w:szCs w:val="13"/>
          <w:color w:val="auto"/>
        </w:rPr>
        <w:t>INO</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-76200</wp:posOffset>
            </wp:positionV>
            <wp:extent cx="2525395"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25395" cy="21590"/>
                    </a:xfrm>
                    <a:prstGeom prst="rect">
                      <a:avLst/>
                    </a:prstGeom>
                    <a:noFill/>
                  </pic:spPr>
                </pic:pic>
              </a:graphicData>
            </a:graphic>
          </wp:anchor>
        </w:drawing>
      </w:r>
    </w:p>
    <w:p>
      <w:pPr>
        <w:ind w:left="20"/>
        <w:spacing w:after="0" w:line="183" w:lineRule="auto"/>
        <w:tabs>
          <w:tab w:leader="none" w:pos="8820" w:val="left"/>
        </w:tabs>
        <w:rPr>
          <w:sz w:val="20"/>
          <w:szCs w:val="20"/>
          <w:color w:val="auto"/>
        </w:rPr>
      </w:pPr>
      <w:r>
        <w:rPr>
          <w:rFonts w:ascii="Arial" w:cs="Arial" w:eastAsia="Arial" w:hAnsi="Arial"/>
          <w:sz w:val="19"/>
          <w:szCs w:val="19"/>
          <w:color w:val="auto"/>
          <w:vertAlign w:val="subscript"/>
        </w:rPr>
        <w:t>(Date)</w:t>
      </w:r>
      <w:r>
        <w:rPr>
          <w:sz w:val="20"/>
          <w:szCs w:val="20"/>
          <w:color w:val="auto"/>
        </w:rPr>
        <w:tab/>
      </w:r>
      <w:r>
        <w:rPr>
          <w:rFonts w:ascii="Arial" w:cs="Arial" w:eastAsia="Arial" w:hAnsi="Arial"/>
          <w:sz w:val="10"/>
          <w:szCs w:val="10"/>
          <w:b w:val="1"/>
          <w:bCs w:val="1"/>
          <w:color w:val="auto"/>
        </w:rPr>
        <w:t>David S. Gino</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2"/>
          <w:szCs w:val="12"/>
          <w:b w:val="1"/>
          <w:bCs w:val="1"/>
          <w:color w:val="auto"/>
        </w:rPr>
        <w:t>Chief Operating Officer and Chief Financial Officer</w:t>
      </w:r>
    </w:p>
    <w:p>
      <w:pPr>
        <w:spacing w:after="0" w:line="10"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9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240" w:top="459" w:right="73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99.1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0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connection with the Quarterly Report of Active Power, Inc. (the “Company”) on Form 10-Q for the period ending June 30, 2002 as filed with the Securities and Exchange Commission on the date hereof (the “Report”), I, Joseph F. Pinkerton, III, Chairman of the Board and Chief Executive Officer of the Company, certify, pursuant to 18 U.S.C.ss. 1350, as adopted pursuant to ss. 906 of the Sarbanes-Oxley Act of 2002, that to my knowledge:</w:t>
      </w:r>
    </w:p>
    <w:p>
      <w:pPr>
        <w:spacing w:after="0" w:line="9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F. P</w:t>
      </w:r>
      <w:r>
        <w:rPr>
          <w:rFonts w:ascii="Arial" w:cs="Arial" w:eastAsia="Arial" w:hAnsi="Arial"/>
          <w:sz w:val="13"/>
          <w:szCs w:val="13"/>
          <w:color w:val="auto"/>
        </w:rPr>
        <w:t>INKERTON</w:t>
      </w:r>
      <w:r>
        <w:rPr>
          <w:rFonts w:ascii="Arial" w:cs="Arial" w:eastAsia="Arial" w:hAnsi="Arial"/>
          <w:sz w:val="16"/>
          <w:szCs w:val="16"/>
          <w:color w:val="auto"/>
        </w:rPr>
        <w:t>, III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August 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-76200</wp:posOffset>
            </wp:positionV>
            <wp:extent cx="2637155"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37155" cy="21590"/>
                    </a:xfrm>
                    <a:prstGeom prst="rect">
                      <a:avLst/>
                    </a:prstGeom>
                    <a:noFill/>
                  </pic:spPr>
                </pic:pic>
              </a:graphicData>
            </a:graphic>
          </wp:anchor>
        </w:drawing>
      </w:r>
    </w:p>
    <w:p>
      <w:pPr>
        <w:jc w:val="center"/>
        <w:ind w:left="7080"/>
        <w:spacing w:after="0"/>
        <w:rPr>
          <w:sz w:val="20"/>
          <w:szCs w:val="20"/>
          <w:color w:val="auto"/>
        </w:rPr>
      </w:pPr>
      <w:r>
        <w:rPr>
          <w:rFonts w:ascii="Arial" w:cs="Arial" w:eastAsia="Arial" w:hAnsi="Arial"/>
          <w:sz w:val="14"/>
          <w:szCs w:val="14"/>
          <w:b w:val="1"/>
          <w:bCs w:val="1"/>
          <w:color w:val="auto"/>
        </w:rPr>
        <w:t>Joseph F. Pinkerton, III</w:t>
      </w:r>
    </w:p>
    <w:p>
      <w:pPr>
        <w:jc w:val="center"/>
        <w:ind w:left="7080"/>
        <w:spacing w:after="0"/>
        <w:rPr>
          <w:sz w:val="20"/>
          <w:szCs w:val="20"/>
          <w:color w:val="auto"/>
        </w:rPr>
      </w:pPr>
      <w:r>
        <w:rPr>
          <w:rFonts w:ascii="Arial" w:cs="Arial" w:eastAsia="Arial" w:hAnsi="Arial"/>
          <w:sz w:val="14"/>
          <w:szCs w:val="14"/>
          <w:b w:val="1"/>
          <w:bCs w:val="1"/>
          <w:color w:val="auto"/>
        </w:rPr>
        <w:t>Chairman of the Board and Chief Executive Officer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99.2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00" w:lineRule="exact"/>
        <w:rPr>
          <w:sz w:val="20"/>
          <w:szCs w:val="20"/>
          <w:color w:val="auto"/>
        </w:rPr>
      </w:pPr>
    </w:p>
    <w:p>
      <w:pPr>
        <w:jc w:val="both"/>
        <w:ind w:right="580" w:firstLine="456"/>
        <w:spacing w:after="0" w:line="306" w:lineRule="auto"/>
        <w:rPr>
          <w:sz w:val="20"/>
          <w:szCs w:val="20"/>
          <w:color w:val="auto"/>
        </w:rPr>
      </w:pPr>
      <w:r>
        <w:rPr>
          <w:rFonts w:ascii="Arial" w:cs="Arial" w:eastAsia="Arial" w:hAnsi="Arial"/>
          <w:sz w:val="16"/>
          <w:szCs w:val="16"/>
          <w:color w:val="auto"/>
        </w:rPr>
        <w:t>In connection with the Quarterly Report of Active Power, Inc. (the “Company”) on Form 10-Q for the period ending June 30, 2002 as filed with the Securities and Exchange Commission on the date hereof (the “Report”), I, David S. Gino, Chief Financial Officer of the Company, certify, pursuant to 18 U.S.C.ss. 1350, as adopted pursuant to ss. 906 of the Sarbanes-Oxley Act of 2002, that, to my knowledge:</w:t>
      </w:r>
    </w:p>
    <w:p>
      <w:pPr>
        <w:spacing w:after="0" w:line="9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8640"/>
        <w:spacing w:after="0"/>
        <w:tabs>
          <w:tab w:leader="none" w:pos="89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S. G</w:t>
      </w:r>
      <w:r>
        <w:rPr>
          <w:rFonts w:ascii="Arial" w:cs="Arial" w:eastAsia="Arial" w:hAnsi="Arial"/>
          <w:sz w:val="13"/>
          <w:szCs w:val="13"/>
          <w:color w:val="auto"/>
        </w:rPr>
        <w:t>INO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August 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-76200</wp:posOffset>
            </wp:positionV>
            <wp:extent cx="250825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08250" cy="21590"/>
                    </a:xfrm>
                    <a:prstGeom prst="rect">
                      <a:avLst/>
                    </a:prstGeom>
                    <a:noFill/>
                  </pic:spPr>
                </pic:pic>
              </a:graphicData>
            </a:graphic>
          </wp:anchor>
        </w:drawing>
      </w:r>
    </w:p>
    <w:p>
      <w:pPr>
        <w:jc w:val="center"/>
        <w:ind w:left="7300"/>
        <w:spacing w:after="0"/>
        <w:rPr>
          <w:sz w:val="20"/>
          <w:szCs w:val="20"/>
          <w:color w:val="auto"/>
        </w:rPr>
      </w:pPr>
      <w:r>
        <w:rPr>
          <w:rFonts w:ascii="Arial" w:cs="Arial" w:eastAsia="Arial" w:hAnsi="Arial"/>
          <w:sz w:val="14"/>
          <w:szCs w:val="14"/>
          <w:b w:val="1"/>
          <w:bCs w:val="1"/>
          <w:color w:val="auto"/>
        </w:rPr>
        <w:t>David S. Gino</w:t>
      </w:r>
    </w:p>
    <w:p>
      <w:pPr>
        <w:jc w:val="center"/>
        <w:ind w:left="7300"/>
        <w:spacing w:after="0"/>
        <w:rPr>
          <w:sz w:val="20"/>
          <w:szCs w:val="20"/>
          <w:color w:val="auto"/>
        </w:rPr>
      </w:pPr>
      <w:r>
        <w:rPr>
          <w:rFonts w:ascii="Arial" w:cs="Arial" w:eastAsia="Arial" w:hAnsi="Arial"/>
          <w:sz w:val="14"/>
          <w:szCs w:val="14"/>
          <w:b w:val="1"/>
          <w:bCs w:val="1"/>
          <w:color w:val="auto"/>
        </w:rPr>
        <w:t>Chief Financial Officer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2"/>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2019-12-14T17:13:39Z</dcterms:created>
  <dcterms:modified xsi:type="dcterms:W3CDTF">2019-12-14T17:13:39Z</dcterms:modified>
</cp:coreProperties>
</file>