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REGISTRATION STATEMENT</w:t>
      </w:r>
    </w:p>
    <w:p>
      <w:pPr>
        <w:jc w:val="center"/>
        <w:ind w:right="-41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ACTIVE POWER, INC.</w:t>
      </w:r>
    </w:p>
    <w:p>
      <w:pPr>
        <w:spacing w:after="0" w:line="54"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2020" w:type="dxa"/>
        <w:tblCellMar>
          <w:top w:w="0" w:type="dxa"/>
          <w:left w:w="0" w:type="dxa"/>
          <w:bottom w:w="0" w:type="dxa"/>
          <w:right w:w="0" w:type="dxa"/>
        </w:tblCellMar>
      </w:tblPr>
      <w:tr>
        <w:trPr>
          <w:trHeight w:val="220"/>
        </w:trPr>
        <w:tc>
          <w:tcPr>
            <w:tcW w:w="3860" w:type="dxa"/>
            <w:vAlign w:val="bottom"/>
          </w:tcPr>
          <w:p>
            <w:pPr>
              <w:jc w:val="center"/>
              <w:ind w:right="2086"/>
              <w:spacing w:after="0"/>
              <w:rPr>
                <w:sz w:val="20"/>
                <w:szCs w:val="20"/>
                <w:color w:val="auto"/>
              </w:rPr>
            </w:pPr>
            <w:r>
              <w:rPr>
                <w:rFonts w:ascii="Arial" w:cs="Arial" w:eastAsia="Arial" w:hAnsi="Arial"/>
                <w:sz w:val="18"/>
                <w:szCs w:val="18"/>
                <w:b w:val="1"/>
                <w:bCs w:val="1"/>
                <w:color w:val="auto"/>
                <w:w w:val="88"/>
              </w:rPr>
              <w:t>Delaware</w:t>
            </w:r>
          </w:p>
        </w:tc>
        <w:tc>
          <w:tcPr>
            <w:tcW w:w="3460" w:type="dxa"/>
            <w:vAlign w:val="bottom"/>
          </w:tcPr>
          <w:p>
            <w:pPr>
              <w:jc w:val="center"/>
              <w:ind w:left="2066"/>
              <w:spacing w:after="0"/>
              <w:rPr>
                <w:sz w:val="20"/>
                <w:szCs w:val="20"/>
                <w:color w:val="auto"/>
              </w:rPr>
            </w:pPr>
            <w:r>
              <w:rPr>
                <w:rFonts w:ascii="Arial" w:cs="Arial" w:eastAsia="Arial" w:hAnsi="Arial"/>
                <w:sz w:val="18"/>
                <w:szCs w:val="18"/>
                <w:b w:val="1"/>
                <w:bCs w:val="1"/>
                <w:color w:val="auto"/>
                <w:w w:val="87"/>
              </w:rPr>
              <w:t>74-2961657</w:t>
            </w:r>
          </w:p>
        </w:tc>
      </w:tr>
      <w:tr>
        <w:trPr>
          <w:trHeight w:val="149"/>
        </w:trPr>
        <w:tc>
          <w:tcPr>
            <w:tcW w:w="3860" w:type="dxa"/>
            <w:vAlign w:val="bottom"/>
          </w:tcPr>
          <w:p>
            <w:pPr>
              <w:jc w:val="center"/>
              <w:ind w:right="2086"/>
              <w:spacing w:after="0" w:line="149" w:lineRule="exact"/>
              <w:rPr>
                <w:sz w:val="20"/>
                <w:szCs w:val="20"/>
                <w:color w:val="auto"/>
              </w:rPr>
            </w:pPr>
            <w:r>
              <w:rPr>
                <w:rFonts w:ascii="Arial" w:cs="Arial" w:eastAsia="Arial" w:hAnsi="Arial"/>
                <w:sz w:val="14"/>
                <w:szCs w:val="14"/>
                <w:b w:val="1"/>
                <w:bCs w:val="1"/>
                <w:i w:val="1"/>
                <w:iCs w:val="1"/>
                <w:color w:val="auto"/>
                <w:w w:val="84"/>
              </w:rPr>
              <w:t>(State or other jurisdiction of</w:t>
            </w:r>
          </w:p>
        </w:tc>
        <w:tc>
          <w:tcPr>
            <w:tcW w:w="3460" w:type="dxa"/>
            <w:vAlign w:val="bottom"/>
          </w:tcPr>
          <w:p>
            <w:pPr>
              <w:jc w:val="center"/>
              <w:ind w:left="2086"/>
              <w:spacing w:after="0" w:line="149" w:lineRule="exact"/>
              <w:rPr>
                <w:sz w:val="20"/>
                <w:szCs w:val="20"/>
                <w:color w:val="auto"/>
              </w:rPr>
            </w:pPr>
            <w:r>
              <w:rPr>
                <w:rFonts w:ascii="Arial" w:cs="Arial" w:eastAsia="Arial" w:hAnsi="Arial"/>
                <w:sz w:val="14"/>
                <w:szCs w:val="14"/>
                <w:b w:val="1"/>
                <w:bCs w:val="1"/>
                <w:i w:val="1"/>
                <w:iCs w:val="1"/>
                <w:color w:val="auto"/>
                <w:w w:val="87"/>
              </w:rPr>
              <w:t>(I.R.S. Employer</w:t>
            </w:r>
          </w:p>
        </w:tc>
      </w:tr>
      <w:tr>
        <w:trPr>
          <w:trHeight w:val="172"/>
        </w:trPr>
        <w:tc>
          <w:tcPr>
            <w:tcW w:w="3860" w:type="dxa"/>
            <w:vAlign w:val="bottom"/>
          </w:tcPr>
          <w:p>
            <w:pPr>
              <w:jc w:val="center"/>
              <w:ind w:right="2086"/>
              <w:spacing w:after="0"/>
              <w:rPr>
                <w:sz w:val="20"/>
                <w:szCs w:val="20"/>
                <w:color w:val="auto"/>
              </w:rPr>
            </w:pPr>
            <w:r>
              <w:rPr>
                <w:rFonts w:ascii="Arial" w:cs="Arial" w:eastAsia="Arial" w:hAnsi="Arial"/>
                <w:sz w:val="14"/>
                <w:szCs w:val="14"/>
                <w:b w:val="1"/>
                <w:bCs w:val="1"/>
                <w:i w:val="1"/>
                <w:iCs w:val="1"/>
                <w:color w:val="auto"/>
                <w:w w:val="85"/>
              </w:rPr>
              <w:t>incorporation or organization)</w:t>
            </w:r>
          </w:p>
        </w:tc>
        <w:tc>
          <w:tcPr>
            <w:tcW w:w="3460" w:type="dxa"/>
            <w:vAlign w:val="bottom"/>
          </w:tcPr>
          <w:p>
            <w:pPr>
              <w:jc w:val="center"/>
              <w:ind w:left="2086"/>
              <w:spacing w:after="0"/>
              <w:rPr>
                <w:sz w:val="20"/>
                <w:szCs w:val="20"/>
                <w:color w:val="auto"/>
              </w:rPr>
            </w:pPr>
            <w:r>
              <w:rPr>
                <w:rFonts w:ascii="Arial" w:cs="Arial" w:eastAsia="Arial" w:hAnsi="Arial"/>
                <w:sz w:val="14"/>
                <w:szCs w:val="14"/>
                <w:b w:val="1"/>
                <w:bCs w:val="1"/>
                <w:i w:val="1"/>
                <w:iCs w:val="1"/>
                <w:color w:val="auto"/>
                <w:w w:val="87"/>
              </w:rPr>
              <w:t>Identification Number)</w:t>
            </w:r>
          </w:p>
        </w:tc>
      </w:tr>
    </w:tbl>
    <w:p>
      <w:pPr>
        <w:spacing w:after="0" w:line="148"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2128 W. Braker Lane, BK12</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(512) 836-6464</w:t>
      </w:r>
    </w:p>
    <w:p>
      <w:pPr>
        <w:spacing w:after="0" w:line="9" w:lineRule="exact"/>
        <w:rPr>
          <w:sz w:val="24"/>
          <w:szCs w:val="24"/>
          <w:color w:val="auto"/>
        </w:rPr>
      </w:pPr>
    </w:p>
    <w:p>
      <w:pPr>
        <w:ind w:left="238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2010 EQUITY INCENTIVE PLAN</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James A. Clishem</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ACTIVE POWER, INC.</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2128 W. Braker Lane, BK12</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(512) 836-6464</w:t>
      </w:r>
    </w:p>
    <w:p>
      <w:pPr>
        <w:spacing w:after="0" w:line="9" w:lineRule="exact"/>
        <w:rPr>
          <w:sz w:val="24"/>
          <w:szCs w:val="24"/>
          <w:color w:val="auto"/>
        </w:rPr>
      </w:pPr>
    </w:p>
    <w:p>
      <w:pPr>
        <w:ind w:left="2840"/>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i w:val="1"/>
          <w:iCs w:val="1"/>
          <w:color w:val="auto"/>
        </w:rPr>
        <w:t>Copy to:</w:t>
      </w:r>
    </w:p>
    <w:p>
      <w:pPr>
        <w:spacing w:after="0" w:line="165"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Derek L. Willis, Esq.</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Wilson Sonsini Goodrich &amp; Rosati</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Professional Corporation</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900 South Capital of Texas Highway</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Las Cimas IV, Fifth Floor</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Austin, TX 78746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195580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000"/>
          </w:cols>
          <w:pgMar w:left="240" w:top="230" w:right="6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75"/>
        </w:trPr>
        <w:tc>
          <w:tcPr>
            <w:tcW w:w="1760" w:type="dxa"/>
            <w:vAlign w:val="bottom"/>
            <w:gridSpan w:val="2"/>
          </w:tcPr>
          <w:p>
            <w:pPr>
              <w:spacing w:after="0"/>
              <w:rPr>
                <w:sz w:val="20"/>
                <w:szCs w:val="20"/>
                <w:color w:val="auto"/>
              </w:rPr>
            </w:pPr>
            <w:r>
              <w:rPr>
                <w:rFonts w:ascii="Arial" w:cs="Arial" w:eastAsia="Arial" w:hAnsi="Arial"/>
                <w:sz w:val="18"/>
                <w:szCs w:val="18"/>
                <w:color w:val="auto"/>
                <w:w w:val="97"/>
              </w:rPr>
              <w:t>Large accelerated filer</w:t>
            </w:r>
          </w:p>
        </w:tc>
        <w:tc>
          <w:tcPr>
            <w:tcW w:w="20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920" w:type="dxa"/>
            <w:vAlign w:val="bottom"/>
            <w:gridSpan w:val="2"/>
          </w:tcPr>
          <w:p>
            <w:pPr>
              <w:ind w:left="600"/>
              <w:spacing w:after="0"/>
              <w:rPr>
                <w:sz w:val="20"/>
                <w:szCs w:val="20"/>
                <w:color w:val="auto"/>
              </w:rPr>
            </w:pPr>
            <w:r>
              <w:rPr>
                <w:rFonts w:ascii="Arial" w:cs="Arial" w:eastAsia="Arial" w:hAnsi="Arial"/>
                <w:sz w:val="18"/>
                <w:szCs w:val="18"/>
                <w:color w:val="auto"/>
              </w:rPr>
              <w:t>Accelerated filer</w:t>
            </w:r>
          </w:p>
        </w:tc>
        <w:tc>
          <w:tcPr>
            <w:tcW w:w="960" w:type="dxa"/>
            <w:vAlign w:val="bottom"/>
          </w:tcPr>
          <w:p>
            <w:pPr>
              <w:spacing w:after="0"/>
              <w:rPr>
                <w:sz w:val="23"/>
                <w:szCs w:val="23"/>
                <w:color w:val="auto"/>
              </w:rPr>
            </w:pPr>
          </w:p>
        </w:tc>
        <w:tc>
          <w:tcPr>
            <w:tcW w:w="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5140" w:type="dxa"/>
            <w:vAlign w:val="bottom"/>
            <w:gridSpan w:val="5"/>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1360" w:type="dxa"/>
            <w:vAlign w:val="bottom"/>
          </w:tcPr>
          <w:p>
            <w:pPr>
              <w:spacing w:after="0"/>
              <w:rPr>
                <w:sz w:val="24"/>
                <w:szCs w:val="24"/>
                <w:color w:val="auto"/>
              </w:rPr>
            </w:pPr>
          </w:p>
        </w:tc>
        <w:tc>
          <w:tcPr>
            <w:tcW w:w="2880" w:type="dxa"/>
            <w:vAlign w:val="bottom"/>
            <w:gridSpan w:val="3"/>
          </w:tcPr>
          <w:p>
            <w:pPr>
              <w:ind w:left="600"/>
              <w:spacing w:after="0"/>
              <w:rPr>
                <w:sz w:val="20"/>
                <w:szCs w:val="20"/>
                <w:color w:val="auto"/>
              </w:rPr>
            </w:pPr>
            <w:r>
              <w:rPr>
                <w:rFonts w:ascii="Arial" w:cs="Arial" w:eastAsia="Arial" w:hAnsi="Arial"/>
                <w:sz w:val="18"/>
                <w:szCs w:val="18"/>
                <w:color w:val="auto"/>
              </w:rPr>
              <w:t>Smaller reporting company</w:t>
            </w:r>
          </w:p>
        </w:tc>
        <w:tc>
          <w:tcPr>
            <w:tcW w:w="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6"/>
        </w:trPr>
        <w:tc>
          <w:tcPr>
            <w:tcW w:w="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370"/>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500" w:type="dxa"/>
            <w:vAlign w:val="bottom"/>
            <w:gridSpan w:val="5"/>
          </w:tcPr>
          <w:p>
            <w:pPr>
              <w:ind w:left="26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Borders>
              <w:right w:val="single" w:sz="8" w:color="auto"/>
            </w:tcBorders>
          </w:tcPr>
          <w:p>
            <w:pPr>
              <w:jc w:val="center"/>
              <w:ind w:right="70"/>
              <w:spacing w:after="0" w:line="117" w:lineRule="exact"/>
              <w:rPr>
                <w:sz w:val="20"/>
                <w:szCs w:val="20"/>
                <w:color w:val="auto"/>
              </w:rPr>
            </w:pPr>
            <w:r>
              <w:rPr>
                <w:rFonts w:ascii="Arial" w:cs="Arial" w:eastAsia="Arial" w:hAnsi="Arial"/>
                <w:sz w:val="12"/>
                <w:szCs w:val="12"/>
                <w:b w:val="1"/>
                <w:bCs w:val="1"/>
                <w:color w:val="auto"/>
                <w:w w:val="97"/>
              </w:rPr>
              <w:t>Proposed</w:t>
            </w:r>
          </w:p>
        </w:tc>
        <w:tc>
          <w:tcPr>
            <w:tcW w:w="1600" w:type="dxa"/>
            <w:vAlign w:val="bottom"/>
            <w:tcBorders>
              <w:right w:val="single" w:sz="8" w:color="auto"/>
            </w:tcBorders>
          </w:tcPr>
          <w:p>
            <w:pPr>
              <w:jc w:val="center"/>
              <w:ind w:left="25"/>
              <w:spacing w:after="0" w:line="117" w:lineRule="exact"/>
              <w:rPr>
                <w:sz w:val="20"/>
                <w:szCs w:val="20"/>
                <w:color w:val="auto"/>
              </w:rPr>
            </w:pPr>
            <w:r>
              <w:rPr>
                <w:rFonts w:ascii="Arial" w:cs="Arial" w:eastAsia="Arial" w:hAnsi="Arial"/>
                <w:sz w:val="12"/>
                <w:szCs w:val="12"/>
                <w:b w:val="1"/>
                <w:bCs w:val="1"/>
                <w:color w:val="auto"/>
                <w:w w:val="97"/>
              </w:rPr>
              <w:t>Proposed</w:t>
            </w:r>
          </w:p>
        </w:tc>
        <w:tc>
          <w:tcPr>
            <w:tcW w:w="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90"/>
              <w:spacing w:after="0" w:line="149" w:lineRule="exact"/>
              <w:rPr>
                <w:sz w:val="20"/>
                <w:szCs w:val="20"/>
                <w:color w:val="auto"/>
              </w:rPr>
            </w:pPr>
            <w:r>
              <w:rPr>
                <w:rFonts w:ascii="Arial" w:cs="Arial" w:eastAsia="Arial" w:hAnsi="Arial"/>
                <w:sz w:val="14"/>
                <w:szCs w:val="14"/>
                <w:b w:val="1"/>
                <w:bCs w:val="1"/>
                <w:color w:val="auto"/>
                <w:w w:val="92"/>
              </w:rPr>
              <w:t>Maximum</w:t>
            </w:r>
          </w:p>
        </w:tc>
        <w:tc>
          <w:tcPr>
            <w:tcW w:w="1600" w:type="dxa"/>
            <w:vAlign w:val="bottom"/>
            <w:tcBorders>
              <w:right w:val="single" w:sz="8" w:color="auto"/>
            </w:tcBorders>
          </w:tcPr>
          <w:p>
            <w:pPr>
              <w:jc w:val="center"/>
              <w:ind w:left="5"/>
              <w:spacing w:after="0" w:line="149" w:lineRule="exact"/>
              <w:rPr>
                <w:sz w:val="20"/>
                <w:szCs w:val="20"/>
                <w:color w:val="auto"/>
              </w:rPr>
            </w:pPr>
            <w:r>
              <w:rPr>
                <w:rFonts w:ascii="Arial" w:cs="Arial" w:eastAsia="Arial" w:hAnsi="Arial"/>
                <w:sz w:val="14"/>
                <w:szCs w:val="14"/>
                <w:b w:val="1"/>
                <w:bCs w:val="1"/>
                <w:color w:val="auto"/>
                <w:w w:val="92"/>
              </w:rPr>
              <w:t>Maximum</w:t>
            </w:r>
          </w:p>
        </w:tc>
        <w:tc>
          <w:tcPr>
            <w:tcW w:w="3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2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83"/>
              </w:rPr>
              <w:t>of Shares to be</w:t>
            </w: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70"/>
              <w:spacing w:after="0" w:line="149" w:lineRule="exact"/>
              <w:rPr>
                <w:sz w:val="20"/>
                <w:szCs w:val="20"/>
                <w:color w:val="auto"/>
              </w:rPr>
            </w:pPr>
            <w:r>
              <w:rPr>
                <w:rFonts w:ascii="Arial" w:cs="Arial" w:eastAsia="Arial" w:hAnsi="Arial"/>
                <w:sz w:val="14"/>
                <w:szCs w:val="14"/>
                <w:b w:val="1"/>
                <w:bCs w:val="1"/>
                <w:color w:val="auto"/>
                <w:w w:val="91"/>
              </w:rPr>
              <w:t>Offering</w:t>
            </w:r>
          </w:p>
        </w:tc>
        <w:tc>
          <w:tcPr>
            <w:tcW w:w="1600" w:type="dxa"/>
            <w:vAlign w:val="bottom"/>
            <w:tcBorders>
              <w:right w:val="single" w:sz="8" w:color="auto"/>
            </w:tcBorders>
          </w:tcPr>
          <w:p>
            <w:pPr>
              <w:jc w:val="center"/>
              <w:ind w:left="5"/>
              <w:spacing w:after="0" w:line="149" w:lineRule="exact"/>
              <w:rPr>
                <w:sz w:val="20"/>
                <w:szCs w:val="20"/>
                <w:color w:val="auto"/>
              </w:rPr>
            </w:pPr>
            <w:r>
              <w:rPr>
                <w:rFonts w:ascii="Arial" w:cs="Arial" w:eastAsia="Arial" w:hAnsi="Arial"/>
                <w:sz w:val="14"/>
                <w:szCs w:val="14"/>
                <w:b w:val="1"/>
                <w:bCs w:val="1"/>
                <w:color w:val="auto"/>
                <w:w w:val="86"/>
              </w:rPr>
              <w:t>Aggregate</w:t>
            </w:r>
          </w:p>
        </w:tc>
        <w:tc>
          <w:tcPr>
            <w:tcW w:w="3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Registration</w:t>
            </w:r>
          </w:p>
        </w:tc>
        <w:tc>
          <w:tcPr>
            <w:tcW w:w="28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3740" w:type="dxa"/>
            <w:vAlign w:val="bottom"/>
            <w:tcBorders>
              <w:bottom w:val="single" w:sz="8" w:color="auto"/>
            </w:tcBorders>
            <w:gridSpan w:val="2"/>
          </w:tcPr>
          <w:p>
            <w:pPr>
              <w:ind w:left="1520"/>
              <w:spacing w:after="0"/>
              <w:rPr>
                <w:sz w:val="20"/>
                <w:szCs w:val="20"/>
                <w:color w:val="auto"/>
              </w:rPr>
            </w:pPr>
            <w:r>
              <w:rPr>
                <w:rFonts w:ascii="Arial" w:cs="Arial" w:eastAsia="Arial" w:hAnsi="Arial"/>
                <w:sz w:val="14"/>
                <w:szCs w:val="14"/>
                <w:b w:val="1"/>
                <w:bCs w:val="1"/>
                <w:color w:val="auto"/>
                <w:w w:val="95"/>
              </w:rPr>
              <w:t>Title of Securities to be Registered</w:t>
            </w:r>
          </w:p>
        </w:tc>
        <w:tc>
          <w:tcPr>
            <w:tcW w:w="76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86"/>
              </w:rPr>
              <w:t>Registered (1)(2)</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4"/>
                <w:szCs w:val="14"/>
                <w:b w:val="1"/>
                <w:bCs w:val="1"/>
                <w:color w:val="auto"/>
                <w:w w:val="88"/>
              </w:rPr>
              <w:t>Price Per Share (3)</w:t>
            </w:r>
          </w:p>
        </w:tc>
        <w:tc>
          <w:tcPr>
            <w:tcW w:w="1600" w:type="dxa"/>
            <w:vAlign w:val="bottom"/>
            <w:tcBorders>
              <w:bottom w:val="single" w:sz="8" w:color="auto"/>
              <w:right w:val="single" w:sz="8" w:color="auto"/>
            </w:tcBorders>
          </w:tcPr>
          <w:p>
            <w:pPr>
              <w:jc w:val="center"/>
              <w:ind w:left="25"/>
              <w:spacing w:after="0"/>
              <w:rPr>
                <w:sz w:val="20"/>
                <w:szCs w:val="20"/>
                <w:color w:val="auto"/>
              </w:rPr>
            </w:pPr>
            <w:r>
              <w:rPr>
                <w:rFonts w:ascii="Arial" w:cs="Arial" w:eastAsia="Arial" w:hAnsi="Arial"/>
                <w:sz w:val="14"/>
                <w:szCs w:val="14"/>
                <w:b w:val="1"/>
                <w:bCs w:val="1"/>
                <w:color w:val="auto"/>
                <w:w w:val="89"/>
              </w:rPr>
              <w:t>Offering Price (3)</w:t>
            </w: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Fee</w:t>
            </w:r>
          </w:p>
        </w:tc>
        <w:tc>
          <w:tcPr>
            <w:tcW w:w="280" w:type="dxa"/>
            <w:vAlign w:val="bottom"/>
            <w:tcBorders>
              <w:bottom w:val="single" w:sz="8" w:color="auto"/>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3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Common Stock, $0.001 par value</w:t>
            </w:r>
          </w:p>
        </w:tc>
        <w:tc>
          <w:tcPr>
            <w:tcW w:w="1300" w:type="dxa"/>
            <w:vAlign w:val="bottom"/>
            <w:tcBorders>
              <w:bottom w:val="single" w:sz="8" w:color="auto"/>
              <w:right w:val="single" w:sz="8" w:color="auto"/>
            </w:tcBorders>
            <w:gridSpan w:val="2"/>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3,247,406</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87"/>
              </w:rPr>
              <w:t>$0.801</w:t>
            </w:r>
          </w:p>
        </w:tc>
        <w:tc>
          <w:tcPr>
            <w:tcW w:w="160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8"/>
                <w:szCs w:val="18"/>
                <w:color w:val="auto"/>
                <w:w w:val="86"/>
              </w:rPr>
              <w:t>$2,601,172.21</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$185.47</w:t>
            </w:r>
          </w:p>
        </w:tc>
        <w:tc>
          <w:tcPr>
            <w:tcW w:w="28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ind w:left="460" w:right="120" w:hanging="452"/>
        <w:spacing w:after="0" w:line="283"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Amount includes 2,100,000 shares of Common Stock reserved for issuance under the 2010 Equity Incentive Plan, as well as 1,147,406 shares of Common Stock that remained available under the Registrant’s 2000 Stock Incentive Plan as of May 13, 2010, the date the 2010 Equity Incentive Plan was approved by the Registrant’s stockholders. The number of shares remaining available under the 2000 Stock Incentive Plan as of May 13, 2010 assumes the exercise of all outstanding options and other awards. Pursuant to Rule 416(a) under the Securities Act of 1933, as amended (the “Securities Act”), this Registration Statement shall also cover any additional shares of Common Stock which become issuable under the 2010 Equity Incentive Plan by reason of any stock dividend, stock split, recapitalization or any other similar transaction effected without the receipt of consideration that results in an increase in the number of the Registrant’s outstanding shares of Common Stock.</w:t>
      </w:r>
    </w:p>
    <w:p>
      <w:pPr>
        <w:ind w:left="460" w:right="34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share of Common Stock is accompanied by a preferred share purchase right pursuant to the Rights Agreement, dated as of December 13, 2001, as may be amended from time to time, between Active Power and EquiServe Trust N.A., as Rights Agent.</w:t>
      </w:r>
    </w:p>
    <w:p>
      <w:pPr>
        <w:ind w:left="460" w:right="100" w:hanging="452"/>
        <w:spacing w:after="0" w:line="26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pursuant to Rule 457(c) and (h) solely for the purpose of calculating the amount of the registration fee, based on the average of the high and low sales price of the Common Stock on May 20, 2010, as reported on the Nasdaq Stock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r>
      <w:tr>
        <w:trPr>
          <w:trHeight w:val="431"/>
        </w:trPr>
        <w:tc>
          <w:tcPr>
            <w:tcW w:w="880" w:type="dxa"/>
            <w:vAlign w:val="bottom"/>
          </w:tcPr>
          <w:p>
            <w:pPr>
              <w:spacing w:after="0"/>
              <w:rPr>
                <w:sz w:val="20"/>
                <w:szCs w:val="20"/>
                <w:color w:val="auto"/>
              </w:rPr>
            </w:pPr>
            <w:r>
              <w:rPr>
                <w:rFonts w:ascii="Arial" w:cs="Arial" w:eastAsia="Arial" w:hAnsi="Arial"/>
                <w:sz w:val="18"/>
                <w:szCs w:val="18"/>
                <w:color w:val="auto"/>
              </w:rPr>
              <w:t>PART II</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4760" w:type="dxa"/>
            <w:vAlign w:val="bottom"/>
          </w:tcPr>
          <w:p>
            <w:pPr>
              <w:ind w:left="4480"/>
              <w:spacing w:after="0"/>
              <w:rPr>
                <w:sz w:val="20"/>
                <w:szCs w:val="20"/>
                <w:color w:val="auto"/>
              </w:rPr>
            </w:pPr>
            <w:r>
              <w:rPr>
                <w:rFonts w:ascii="Arial" w:cs="Arial" w:eastAsia="Arial" w:hAnsi="Arial"/>
                <w:sz w:val="18"/>
                <w:szCs w:val="18"/>
                <w:color w:val="auto"/>
                <w:w w:val="99"/>
              </w:rPr>
              <w:t>II-1</w:t>
            </w:r>
          </w:p>
        </w:tc>
      </w:tr>
      <w:tr>
        <w:trPr>
          <w:trHeight w:val="184"/>
        </w:trPr>
        <w:tc>
          <w:tcPr>
            <w:tcW w:w="4780" w:type="dxa"/>
            <w:vAlign w:val="bottom"/>
            <w:gridSpan w:val="9"/>
          </w:tcPr>
          <w:p>
            <w:pPr>
              <w:ind w:left="220"/>
              <w:spacing w:after="0" w:line="184" w:lineRule="exact"/>
              <w:rPr>
                <w:rFonts w:ascii="Arial" w:cs="Arial" w:eastAsia="Arial" w:hAnsi="Arial"/>
                <w:sz w:val="18"/>
                <w:szCs w:val="18"/>
                <w:color w:val="auto"/>
              </w:rPr>
            </w:pPr>
            <w:r>
              <w:rPr>
                <w:rFonts w:ascii="Arial" w:cs="Arial" w:eastAsia="Arial" w:hAnsi="Arial"/>
                <w:sz w:val="18"/>
                <w:szCs w:val="18"/>
                <w:color w:val="auto"/>
              </w:rPr>
              <w:t xml:space="preserve">Item 3.  </w:t>
            </w:r>
            <w:hyperlink w:anchor="page4">
              <w:r>
                <w:rPr>
                  <w:rFonts w:ascii="Arial" w:cs="Arial" w:eastAsia="Arial" w:hAnsi="Arial"/>
                  <w:sz w:val="18"/>
                  <w:szCs w:val="18"/>
                  <w:color w:val="0000EE"/>
                </w:rPr>
                <w:t>Incorporation of Documents by Reference</w:t>
              </w:r>
            </w:hyperlink>
          </w:p>
        </w:tc>
        <w:tc>
          <w:tcPr>
            <w:tcW w:w="1880" w:type="dxa"/>
            <w:vAlign w:val="bottom"/>
          </w:tcPr>
          <w:p>
            <w:pPr>
              <w:spacing w:after="0"/>
              <w:rPr>
                <w:sz w:val="15"/>
                <w:szCs w:val="15"/>
                <w:color w:val="auto"/>
              </w:rPr>
            </w:pPr>
          </w:p>
        </w:tc>
        <w:tc>
          <w:tcPr>
            <w:tcW w:w="4760" w:type="dxa"/>
            <w:vAlign w:val="bottom"/>
          </w:tcPr>
          <w:p>
            <w:pPr>
              <w:ind w:left="4480"/>
              <w:spacing w:after="0" w:line="184" w:lineRule="exact"/>
              <w:rPr>
                <w:sz w:val="20"/>
                <w:szCs w:val="20"/>
                <w:color w:val="auto"/>
              </w:rPr>
            </w:pPr>
            <w:r>
              <w:rPr>
                <w:rFonts w:ascii="Arial" w:cs="Arial" w:eastAsia="Arial" w:hAnsi="Arial"/>
                <w:sz w:val="18"/>
                <w:szCs w:val="18"/>
                <w:color w:val="auto"/>
                <w:w w:val="99"/>
              </w:rPr>
              <w:t>II-1</w:t>
            </w:r>
          </w:p>
        </w:tc>
      </w:tr>
      <w:tr>
        <w:trPr>
          <w:trHeight w:val="20"/>
        </w:trPr>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196"/>
        </w:trPr>
        <w:tc>
          <w:tcPr>
            <w:tcW w:w="4780" w:type="dxa"/>
            <w:vAlign w:val="bottom"/>
            <w:gridSpan w:val="9"/>
          </w:tcPr>
          <w:p>
            <w:pPr>
              <w:ind w:left="2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Item 4.  </w:t>
            </w:r>
            <w:hyperlink w:anchor="page4">
              <w:r>
                <w:rPr>
                  <w:rFonts w:ascii="Arial" w:cs="Arial" w:eastAsia="Arial" w:hAnsi="Arial"/>
                  <w:sz w:val="18"/>
                  <w:szCs w:val="18"/>
                  <w:color w:val="0000EE"/>
                </w:rPr>
                <w:t>Description of Securities</w:t>
              </w:r>
            </w:hyperlink>
          </w:p>
        </w:tc>
        <w:tc>
          <w:tcPr>
            <w:tcW w:w="1880" w:type="dxa"/>
            <w:vAlign w:val="bottom"/>
          </w:tcPr>
          <w:p>
            <w:pPr>
              <w:spacing w:after="0"/>
              <w:rPr>
                <w:sz w:val="17"/>
                <w:szCs w:val="17"/>
                <w:color w:val="auto"/>
              </w:rPr>
            </w:pPr>
          </w:p>
        </w:tc>
        <w:tc>
          <w:tcPr>
            <w:tcW w:w="4760" w:type="dxa"/>
            <w:vAlign w:val="bottom"/>
          </w:tcPr>
          <w:p>
            <w:pPr>
              <w:ind w:left="4480"/>
              <w:spacing w:after="0" w:line="196" w:lineRule="exact"/>
              <w:rPr>
                <w:sz w:val="20"/>
                <w:szCs w:val="20"/>
                <w:color w:val="auto"/>
              </w:rPr>
            </w:pPr>
            <w:r>
              <w:rPr>
                <w:rFonts w:ascii="Arial" w:cs="Arial" w:eastAsia="Arial" w:hAnsi="Arial"/>
                <w:sz w:val="18"/>
                <w:szCs w:val="18"/>
                <w:color w:val="auto"/>
                <w:w w:val="99"/>
              </w:rPr>
              <w:t>II-2</w:t>
            </w:r>
          </w:p>
        </w:tc>
      </w:tr>
      <w:tr>
        <w:trPr>
          <w:trHeight w:val="20"/>
        </w:trPr>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196"/>
        </w:trPr>
        <w:tc>
          <w:tcPr>
            <w:tcW w:w="4780" w:type="dxa"/>
            <w:vAlign w:val="bottom"/>
            <w:gridSpan w:val="9"/>
          </w:tcPr>
          <w:p>
            <w:pPr>
              <w:ind w:left="2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Item 5.  </w:t>
            </w:r>
            <w:hyperlink w:anchor="page5">
              <w:r>
                <w:rPr>
                  <w:rFonts w:ascii="Arial" w:cs="Arial" w:eastAsia="Arial" w:hAnsi="Arial"/>
                  <w:sz w:val="18"/>
                  <w:szCs w:val="18"/>
                  <w:color w:val="0000EE"/>
                </w:rPr>
                <w:t>Interests of Named Experts and Counsel</w:t>
              </w:r>
            </w:hyperlink>
          </w:p>
        </w:tc>
        <w:tc>
          <w:tcPr>
            <w:tcW w:w="1880" w:type="dxa"/>
            <w:vAlign w:val="bottom"/>
          </w:tcPr>
          <w:p>
            <w:pPr>
              <w:spacing w:after="0"/>
              <w:rPr>
                <w:sz w:val="17"/>
                <w:szCs w:val="17"/>
                <w:color w:val="auto"/>
              </w:rPr>
            </w:pPr>
          </w:p>
        </w:tc>
        <w:tc>
          <w:tcPr>
            <w:tcW w:w="4760" w:type="dxa"/>
            <w:vAlign w:val="bottom"/>
          </w:tcPr>
          <w:p>
            <w:pPr>
              <w:ind w:left="4480"/>
              <w:spacing w:after="0" w:line="196" w:lineRule="exact"/>
              <w:rPr>
                <w:sz w:val="20"/>
                <w:szCs w:val="20"/>
                <w:color w:val="auto"/>
              </w:rPr>
            </w:pPr>
            <w:r>
              <w:rPr>
                <w:rFonts w:ascii="Arial" w:cs="Arial" w:eastAsia="Arial" w:hAnsi="Arial"/>
                <w:sz w:val="18"/>
                <w:szCs w:val="18"/>
                <w:color w:val="auto"/>
                <w:w w:val="99"/>
              </w:rPr>
              <w:t>II-2</w:t>
            </w:r>
          </w:p>
        </w:tc>
      </w:tr>
      <w:tr>
        <w:trPr>
          <w:trHeight w:val="20"/>
        </w:trPr>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196"/>
        </w:trPr>
        <w:tc>
          <w:tcPr>
            <w:tcW w:w="4780" w:type="dxa"/>
            <w:vAlign w:val="bottom"/>
            <w:gridSpan w:val="9"/>
          </w:tcPr>
          <w:p>
            <w:pPr>
              <w:ind w:left="2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Item 6.  </w:t>
            </w:r>
            <w:hyperlink w:anchor="page5">
              <w:r>
                <w:rPr>
                  <w:rFonts w:ascii="Arial" w:cs="Arial" w:eastAsia="Arial" w:hAnsi="Arial"/>
                  <w:sz w:val="18"/>
                  <w:szCs w:val="18"/>
                  <w:color w:val="0000EE"/>
                </w:rPr>
                <w:t>Indemnification of Directors and Officers</w:t>
              </w:r>
            </w:hyperlink>
          </w:p>
        </w:tc>
        <w:tc>
          <w:tcPr>
            <w:tcW w:w="1880" w:type="dxa"/>
            <w:vAlign w:val="bottom"/>
          </w:tcPr>
          <w:p>
            <w:pPr>
              <w:spacing w:after="0"/>
              <w:rPr>
                <w:sz w:val="17"/>
                <w:szCs w:val="17"/>
                <w:color w:val="auto"/>
              </w:rPr>
            </w:pPr>
          </w:p>
        </w:tc>
        <w:tc>
          <w:tcPr>
            <w:tcW w:w="4760" w:type="dxa"/>
            <w:vAlign w:val="bottom"/>
          </w:tcPr>
          <w:p>
            <w:pPr>
              <w:ind w:left="4480"/>
              <w:spacing w:after="0" w:line="196" w:lineRule="exact"/>
              <w:rPr>
                <w:sz w:val="20"/>
                <w:szCs w:val="20"/>
                <w:color w:val="auto"/>
              </w:rPr>
            </w:pPr>
            <w:r>
              <w:rPr>
                <w:rFonts w:ascii="Arial" w:cs="Arial" w:eastAsia="Arial" w:hAnsi="Arial"/>
                <w:sz w:val="18"/>
                <w:szCs w:val="18"/>
                <w:color w:val="auto"/>
                <w:w w:val="99"/>
              </w:rPr>
              <w:t>II-2</w:t>
            </w:r>
          </w:p>
        </w:tc>
      </w:tr>
      <w:tr>
        <w:trPr>
          <w:trHeight w:val="196"/>
        </w:trPr>
        <w:tc>
          <w:tcPr>
            <w:tcW w:w="880" w:type="dxa"/>
            <w:vAlign w:val="bottom"/>
          </w:tcPr>
          <w:p>
            <w:pPr>
              <w:ind w:left="220"/>
              <w:spacing w:after="0" w:line="196" w:lineRule="exact"/>
              <w:rPr>
                <w:sz w:val="20"/>
                <w:szCs w:val="20"/>
                <w:color w:val="auto"/>
              </w:rPr>
            </w:pPr>
            <w:r>
              <w:rPr>
                <w:rFonts w:ascii="Arial" w:cs="Arial" w:eastAsia="Arial" w:hAnsi="Arial"/>
                <w:sz w:val="18"/>
                <w:szCs w:val="18"/>
                <w:color w:val="auto"/>
              </w:rPr>
              <w:t>Item 7.</w:t>
            </w:r>
          </w:p>
        </w:tc>
        <w:tc>
          <w:tcPr>
            <w:tcW w:w="2960" w:type="dxa"/>
            <w:vAlign w:val="bottom"/>
            <w:tcBorders>
              <w:top w:val="single" w:sz="8" w:color="0000EE"/>
            </w:tcBorders>
            <w:gridSpan w:val="7"/>
          </w:tcPr>
          <w:p>
            <w:pPr>
              <w:spacing w:after="0" w:line="196"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Exemption From Registration Claimed</w:t>
              </w:r>
            </w:hyperlink>
          </w:p>
        </w:tc>
        <w:tc>
          <w:tcPr>
            <w:tcW w:w="9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760" w:type="dxa"/>
            <w:vAlign w:val="bottom"/>
          </w:tcPr>
          <w:p>
            <w:pPr>
              <w:ind w:left="4480"/>
              <w:spacing w:after="0" w:line="196" w:lineRule="exact"/>
              <w:rPr>
                <w:sz w:val="20"/>
                <w:szCs w:val="20"/>
                <w:color w:val="auto"/>
              </w:rPr>
            </w:pPr>
            <w:r>
              <w:rPr>
                <w:rFonts w:ascii="Arial" w:cs="Arial" w:eastAsia="Arial" w:hAnsi="Arial"/>
                <w:sz w:val="18"/>
                <w:szCs w:val="18"/>
                <w:color w:val="auto"/>
                <w:w w:val="99"/>
              </w:rPr>
              <w:t>II-2</w:t>
            </w:r>
          </w:p>
        </w:tc>
      </w:tr>
      <w:tr>
        <w:trPr>
          <w:trHeight w:val="196"/>
        </w:trPr>
        <w:tc>
          <w:tcPr>
            <w:tcW w:w="880" w:type="dxa"/>
            <w:vAlign w:val="bottom"/>
          </w:tcPr>
          <w:p>
            <w:pPr>
              <w:ind w:left="220"/>
              <w:spacing w:after="0" w:line="196" w:lineRule="exact"/>
              <w:rPr>
                <w:sz w:val="20"/>
                <w:szCs w:val="20"/>
                <w:color w:val="auto"/>
              </w:rPr>
            </w:pPr>
            <w:r>
              <w:rPr>
                <w:rFonts w:ascii="Arial" w:cs="Arial" w:eastAsia="Arial" w:hAnsi="Arial"/>
                <w:sz w:val="18"/>
                <w:szCs w:val="18"/>
                <w:color w:val="auto"/>
              </w:rPr>
              <w:t>Item 8.</w:t>
            </w:r>
          </w:p>
        </w:tc>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Exhibits</w:t>
              </w:r>
            </w:hyperlink>
          </w:p>
        </w:tc>
        <w:tc>
          <w:tcPr>
            <w:tcW w:w="2140" w:type="dxa"/>
            <w:vAlign w:val="bottom"/>
            <w:tcBorders>
              <w:top w:val="single" w:sz="8" w:color="0000EE"/>
            </w:tcBorders>
            <w:gridSpan w:val="3"/>
          </w:tcPr>
          <w:p>
            <w:pPr>
              <w:spacing w:after="0"/>
              <w:rPr>
                <w:sz w:val="17"/>
                <w:szCs w:val="17"/>
                <w:color w:val="auto"/>
              </w:rPr>
            </w:pPr>
          </w:p>
        </w:tc>
        <w:tc>
          <w:tcPr>
            <w:tcW w:w="1160" w:type="dxa"/>
            <w:vAlign w:val="bottom"/>
            <w:gridSpan w:val="3"/>
          </w:tcPr>
          <w:p>
            <w:pPr>
              <w:spacing w:after="0"/>
              <w:rPr>
                <w:sz w:val="17"/>
                <w:szCs w:val="17"/>
                <w:color w:val="auto"/>
              </w:rPr>
            </w:pPr>
          </w:p>
        </w:tc>
        <w:tc>
          <w:tcPr>
            <w:tcW w:w="1880" w:type="dxa"/>
            <w:vAlign w:val="bottom"/>
          </w:tcPr>
          <w:p>
            <w:pPr>
              <w:spacing w:after="0"/>
              <w:rPr>
                <w:sz w:val="17"/>
                <w:szCs w:val="17"/>
                <w:color w:val="auto"/>
              </w:rPr>
            </w:pPr>
          </w:p>
        </w:tc>
        <w:tc>
          <w:tcPr>
            <w:tcW w:w="4760" w:type="dxa"/>
            <w:vAlign w:val="bottom"/>
          </w:tcPr>
          <w:p>
            <w:pPr>
              <w:ind w:left="4480"/>
              <w:spacing w:after="0" w:line="196" w:lineRule="exact"/>
              <w:rPr>
                <w:sz w:val="20"/>
                <w:szCs w:val="20"/>
                <w:color w:val="auto"/>
              </w:rPr>
            </w:pPr>
            <w:r>
              <w:rPr>
                <w:rFonts w:ascii="Arial" w:cs="Arial" w:eastAsia="Arial" w:hAnsi="Arial"/>
                <w:sz w:val="18"/>
                <w:szCs w:val="18"/>
                <w:color w:val="auto"/>
                <w:w w:val="99"/>
              </w:rPr>
              <w:t>II-2</w:t>
            </w:r>
          </w:p>
        </w:tc>
      </w:tr>
      <w:tr>
        <w:trPr>
          <w:trHeight w:val="196"/>
        </w:trPr>
        <w:tc>
          <w:tcPr>
            <w:tcW w:w="880" w:type="dxa"/>
            <w:vAlign w:val="bottom"/>
          </w:tcPr>
          <w:p>
            <w:pPr>
              <w:ind w:left="220"/>
              <w:spacing w:after="0" w:line="196" w:lineRule="exact"/>
              <w:rPr>
                <w:sz w:val="20"/>
                <w:szCs w:val="20"/>
                <w:color w:val="auto"/>
              </w:rPr>
            </w:pPr>
            <w:r>
              <w:rPr>
                <w:rFonts w:ascii="Arial" w:cs="Arial" w:eastAsia="Arial" w:hAnsi="Arial"/>
                <w:sz w:val="18"/>
                <w:szCs w:val="18"/>
                <w:color w:val="auto"/>
              </w:rPr>
              <w:t>Item 9.</w:t>
            </w:r>
          </w:p>
        </w:tc>
        <w:tc>
          <w:tcPr>
            <w:tcW w:w="9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Undertakings</w:t>
              </w:r>
            </w:hyperlink>
          </w:p>
        </w:tc>
        <w:tc>
          <w:tcPr>
            <w:tcW w:w="2940" w:type="dxa"/>
            <w:vAlign w:val="bottom"/>
            <w:gridSpan w:val="5"/>
          </w:tcPr>
          <w:p>
            <w:pPr>
              <w:spacing w:after="0"/>
              <w:rPr>
                <w:sz w:val="17"/>
                <w:szCs w:val="17"/>
                <w:color w:val="auto"/>
              </w:rPr>
            </w:pPr>
          </w:p>
        </w:tc>
        <w:tc>
          <w:tcPr>
            <w:tcW w:w="1880" w:type="dxa"/>
            <w:vAlign w:val="bottom"/>
          </w:tcPr>
          <w:p>
            <w:pPr>
              <w:spacing w:after="0"/>
              <w:rPr>
                <w:sz w:val="17"/>
                <w:szCs w:val="17"/>
                <w:color w:val="auto"/>
              </w:rPr>
            </w:pPr>
          </w:p>
        </w:tc>
        <w:tc>
          <w:tcPr>
            <w:tcW w:w="4760" w:type="dxa"/>
            <w:vAlign w:val="bottom"/>
          </w:tcPr>
          <w:p>
            <w:pPr>
              <w:ind w:left="4480"/>
              <w:spacing w:after="0" w:line="196" w:lineRule="exact"/>
              <w:rPr>
                <w:sz w:val="20"/>
                <w:szCs w:val="20"/>
                <w:color w:val="auto"/>
              </w:rPr>
            </w:pPr>
            <w:r>
              <w:rPr>
                <w:rFonts w:ascii="Arial" w:cs="Arial" w:eastAsia="Arial" w:hAnsi="Arial"/>
                <w:sz w:val="18"/>
                <w:szCs w:val="18"/>
                <w:color w:val="auto"/>
                <w:w w:val="99"/>
              </w:rPr>
              <w:t>II-2</w:t>
            </w:r>
          </w:p>
        </w:tc>
      </w:tr>
      <w:tr>
        <w:trPr>
          <w:trHeight w:val="196"/>
        </w:trPr>
        <w:tc>
          <w:tcPr>
            <w:tcW w:w="4780" w:type="dxa"/>
            <w:vAlign w:val="bottom"/>
            <w:gridSpan w:val="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SIGNATURES</w:t>
              </w:r>
            </w:hyperlink>
          </w:p>
        </w:tc>
        <w:tc>
          <w:tcPr>
            <w:tcW w:w="1880" w:type="dxa"/>
            <w:vAlign w:val="bottom"/>
          </w:tcPr>
          <w:p>
            <w:pPr>
              <w:spacing w:after="0"/>
              <w:rPr>
                <w:sz w:val="17"/>
                <w:szCs w:val="17"/>
                <w:color w:val="auto"/>
              </w:rPr>
            </w:pPr>
          </w:p>
        </w:tc>
        <w:tc>
          <w:tcPr>
            <w:tcW w:w="4760" w:type="dxa"/>
            <w:vAlign w:val="bottom"/>
          </w:tcPr>
          <w:p>
            <w:pPr>
              <w:ind w:left="4480"/>
              <w:spacing w:after="0" w:line="196" w:lineRule="exact"/>
              <w:rPr>
                <w:sz w:val="20"/>
                <w:szCs w:val="20"/>
                <w:color w:val="auto"/>
              </w:rPr>
            </w:pPr>
            <w:r>
              <w:rPr>
                <w:rFonts w:ascii="Arial" w:cs="Arial" w:eastAsia="Arial" w:hAnsi="Arial"/>
                <w:sz w:val="18"/>
                <w:szCs w:val="18"/>
                <w:color w:val="auto"/>
                <w:w w:val="99"/>
              </w:rPr>
              <w:t>II-4</w:t>
            </w: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3700" w:type="dxa"/>
            <w:vAlign w:val="bottom"/>
            <w:gridSpan w:val="7"/>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228"/>
        </w:trPr>
        <w:tc>
          <w:tcPr>
            <w:tcW w:w="4780" w:type="dxa"/>
            <w:vAlign w:val="bottom"/>
            <w:gridSpan w:val="9"/>
          </w:tcPr>
          <w:p>
            <w:pPr>
              <w:spacing w:after="0"/>
              <w:rPr>
                <w:sz w:val="20"/>
                <w:szCs w:val="20"/>
                <w:color w:val="auto"/>
              </w:rPr>
            </w:pPr>
            <w:r>
              <w:rPr>
                <w:rFonts w:ascii="Arial" w:cs="Arial" w:eastAsia="Arial" w:hAnsi="Arial"/>
                <w:sz w:val="18"/>
                <w:szCs w:val="18"/>
                <w:color w:val="auto"/>
              </w:rPr>
              <w:t>Opinion/Consent of Counsel</w:t>
            </w:r>
          </w:p>
        </w:tc>
        <w:tc>
          <w:tcPr>
            <w:tcW w:w="1880" w:type="dxa"/>
            <w:vAlign w:val="bottom"/>
          </w:tcPr>
          <w:p>
            <w:pPr>
              <w:spacing w:after="0"/>
              <w:rPr>
                <w:sz w:val="19"/>
                <w:szCs w:val="19"/>
                <w:color w:val="auto"/>
              </w:rPr>
            </w:pPr>
          </w:p>
        </w:tc>
        <w:tc>
          <w:tcPr>
            <w:tcW w:w="4760" w:type="dxa"/>
            <w:vAlign w:val="bottom"/>
          </w:tcPr>
          <w:p>
            <w:pPr>
              <w:spacing w:after="0"/>
              <w:rPr>
                <w:sz w:val="19"/>
                <w:szCs w:val="19"/>
                <w:color w:val="auto"/>
              </w:rPr>
            </w:pPr>
          </w:p>
        </w:tc>
      </w:tr>
      <w:tr>
        <w:trPr>
          <w:trHeight w:val="222"/>
        </w:trPr>
        <w:tc>
          <w:tcPr>
            <w:tcW w:w="4780" w:type="dxa"/>
            <w:vAlign w:val="bottom"/>
            <w:gridSpan w:val="9"/>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1880" w:type="dxa"/>
            <w:vAlign w:val="bottom"/>
          </w:tcPr>
          <w:p>
            <w:pPr>
              <w:spacing w:after="0"/>
              <w:rPr>
                <w:sz w:val="19"/>
                <w:szCs w:val="19"/>
                <w:color w:val="auto"/>
              </w:rPr>
            </w:pPr>
          </w:p>
        </w:tc>
        <w:tc>
          <w:tcPr>
            <w:tcW w:w="4760" w:type="dxa"/>
            <w:vAlign w:val="bottom"/>
          </w:tcPr>
          <w:p>
            <w:pPr>
              <w:spacing w:after="0"/>
              <w:rPr>
                <w:sz w:val="19"/>
                <w:szCs w:val="19"/>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PART 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INFORMATION REQUIRED IN THE SECTION 10(a) PROSPECTUS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information called for in Part I of the Form S-8 will be sent or given to employees, officers, directors or others specified by Rule 428(b)(1) promulgated under the Securities Act of 1933, as amended (the “Securities Act”), and is not being filed or included in this Form S-8 (whether by incorporation by reference or otherwise) in accordance with the rules and regulations of the Securities and Exchange Commission (the “Commission”).</w:t>
      </w:r>
    </w:p>
    <w:p>
      <w:pPr>
        <w:spacing w:after="0" w:line="10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PART II</w:t>
      </w:r>
    </w:p>
    <w:p>
      <w:pPr>
        <w:spacing w:after="0" w:line="171"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INFORMATION REQUIRED IN REGISTRATION STATEMENT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documents filed by Active Power, Inc. (the “Registrant”) with the Commission are hereby incorporated by reference into this Registration Statement on Form S-8 (this “Registration Statement”):</w:t>
      </w:r>
    </w:p>
    <w:p>
      <w:pPr>
        <w:spacing w:after="0" w:line="132" w:lineRule="exact"/>
        <w:rPr>
          <w:sz w:val="20"/>
          <w:szCs w:val="20"/>
          <w:color w:val="auto"/>
        </w:rPr>
      </w:pPr>
    </w:p>
    <w:p>
      <w:pPr>
        <w:ind w:right="140" w:firstLine="464"/>
        <w:spacing w:after="0" w:line="268" w:lineRule="auto"/>
        <w:tabs>
          <w:tab w:leader="none" w:pos="69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fiscal year ended December 31, 2009, filed with the Commission on March 4, 2010 pursuant to Section 13 of the Securities Exchange Act of 1934, as amended (the “Exchange Act”);</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Quarterly Report on Form 10-Q filed with the Commission on April 27, 2010;</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 on Form 8-K filed with the Commission on February 22, 2010;</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 on Form 8-K filed with the Commission on March 3, 2010;</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 on Form 8-K filed with the Commission on March 24, 2010;</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 on Form 8-K filed with the Commission on March 30, 2010;</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 on Form 8-K filed with the Commission on May 18, 2010;</w:t>
      </w:r>
    </w:p>
    <w:p>
      <w:pPr>
        <w:spacing w:after="0" w:line="171" w:lineRule="exact"/>
        <w:rPr>
          <w:rFonts w:ascii="Arial" w:cs="Arial" w:eastAsia="Arial" w:hAnsi="Arial"/>
          <w:sz w:val="18"/>
          <w:szCs w:val="18"/>
          <w:color w:val="auto"/>
        </w:rPr>
      </w:pPr>
    </w:p>
    <w:p>
      <w:pPr>
        <w:ind w:right="160" w:firstLine="464"/>
        <w:spacing w:after="0" w:line="268" w:lineRule="auto"/>
        <w:tabs>
          <w:tab w:leader="none" w:pos="70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Registration Statement No. 000-30939 on Form 8-A12G filed with the Commission on June 30, 2000, in which the terms, rights and provisions applicable to the Registrant’s Common Stock are described; and</w:t>
      </w:r>
    </w:p>
    <w:p>
      <w:pPr>
        <w:spacing w:after="0" w:line="132" w:lineRule="exact"/>
        <w:rPr>
          <w:sz w:val="20"/>
          <w:szCs w:val="20"/>
          <w:color w:val="auto"/>
        </w:rPr>
      </w:pPr>
    </w:p>
    <w:p>
      <w:pPr>
        <w:ind w:right="60" w:firstLine="464"/>
        <w:spacing w:after="0" w:line="268" w:lineRule="auto"/>
        <w:tabs>
          <w:tab w:leader="none" w:pos="70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Registration Statement No. 000-30939 on Form 8-A12G filed with the Commission on December 14, 2001, in which the terms, rights and provisions applicable to the Registrant’s Preferred Share Purchase Rights are described.</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All documents subsequently filed by the Registrant pursuant to Section 13(a), 13(c), 14 or 15(d) of the Exchange Act on or after the date of this Registration Statement and prior to the filing of a post-effective amendment which indicates that all securities offered have been sold or which deregisters all securities then remaining unsold, shall be deemed to be incorporated by reference into this Registration Statement and to be part hereof from the date of filing of such documents.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96"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Our restated certificate of incorporation contains provisions that eliminate, to the maximum extent permitted by the Delaware General Corporation Law, the personal liability of directors and executive officers for monetary damages for breach of their fiduciary duties as a director or officer. Our restated certificate of incorporation and amended bylaws provide that we shall indemnify our directors and executive officers and may indemnify our employees and other agents to the fullest extent permitted by the Delaware General Corporation Law.</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Sections 145 and 102(b)(7) of the Delaware General Corporation Law provide that a corporation may indemnify any person made a party to an action by reason of the fact that he or she was a director, executive officer, employee or agent of the corporation or is or was serving at the request of the corporation against expenses (including attorneys’ fees), judgments, fines and amounts paid in settlement actually and reasonably incurred by him or her in connection with such action if he or she acted in good faith and in a manner he or she reasonably believed to be in, or not opposed to, the best interests of the corporation and, with respect to any criminal action or proceeding, had no reasonable cause to believe his or her conduct was unlawful, except that, in the case of an action by or in right of the corporation, no indemnification may generally be made in respect of any claim as to which such person is adjudged to be liable to the corporation.</w:t>
      </w:r>
    </w:p>
    <w:p>
      <w:pPr>
        <w:spacing w:after="0" w:line="12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have entered into indemnification agreements with our directors and executive officers, in addition to the indemnification provided for in our restated certificate of incorporation and amended bylaws, and intend to enter into indemnification agreements with any new directors and executive officers in the future.</w:t>
      </w:r>
    </w:p>
    <w:p>
      <w:pPr>
        <w:spacing w:after="0" w:line="85"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We have purchased and intend to maintain insurance on behalf of any person who is or was a director or officer of our company against any loss arising from any claim asserted against him or her and incurred by him or her in any such capacity, subject to certain exclusions.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Exhibits listed on the accompanying Index to Exhibits are filed as part of, or incorporated by reference into, this Registration Statement.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96" w:lineRule="exact"/>
        <w:rPr>
          <w:sz w:val="20"/>
          <w:szCs w:val="20"/>
          <w:color w:val="auto"/>
        </w:rPr>
      </w:pPr>
    </w:p>
    <w:p>
      <w:pPr>
        <w:ind w:left="700" w:hanging="23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71" w:lineRule="exact"/>
        <w:rPr>
          <w:rFonts w:ascii="Arial" w:cs="Arial" w:eastAsia="Arial" w:hAnsi="Arial"/>
          <w:sz w:val="18"/>
          <w:szCs w:val="18"/>
          <w:color w:val="auto"/>
        </w:rPr>
      </w:pPr>
    </w:p>
    <w:p>
      <w:pPr>
        <w:ind w:left="1700" w:hanging="208"/>
        <w:spacing w:after="0"/>
        <w:tabs>
          <w:tab w:leader="none" w:pos="170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71" w:lineRule="exact"/>
        <w:rPr>
          <w:rFonts w:ascii="Arial" w:cs="Arial" w:eastAsia="Arial" w:hAnsi="Arial"/>
          <w:sz w:val="18"/>
          <w:szCs w:val="18"/>
          <w:color w:val="auto"/>
        </w:rPr>
      </w:pPr>
    </w:p>
    <w:p>
      <w:pPr>
        <w:ind w:right="60" w:firstLine="1492"/>
        <w:spacing w:after="0" w:line="291" w:lineRule="auto"/>
        <w:tabs>
          <w:tab w:leader="none" w:pos="1742" w:val="left"/>
        </w:tabs>
        <w:numPr>
          <w:ilvl w:val="2"/>
          <w:numId w:val="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1492"/>
        <w:spacing w:after="0" w:line="268" w:lineRule="auto"/>
        <w:tabs>
          <w:tab w:leader="none" w:pos="1791"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32" w:lineRule="exact"/>
        <w:rPr>
          <w:sz w:val="20"/>
          <w:szCs w:val="20"/>
          <w:color w:val="auto"/>
        </w:rPr>
      </w:pPr>
    </w:p>
    <w:p>
      <w:pPr>
        <w:ind w:right="20" w:firstLine="1484"/>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Section 15(d) of the Exchange Act that are incorporated by reference in this Registration Statement.</w:t>
      </w:r>
    </w:p>
    <w:p>
      <w:pPr>
        <w:spacing w:after="0" w:line="140" w:lineRule="exact"/>
        <w:rPr>
          <w:sz w:val="20"/>
          <w:szCs w:val="20"/>
          <w:color w:val="auto"/>
        </w:rPr>
      </w:pPr>
    </w:p>
    <w:p>
      <w:pPr>
        <w:ind w:right="160" w:firstLine="921"/>
        <w:spacing w:after="0" w:line="259" w:lineRule="auto"/>
        <w:tabs>
          <w:tab w:leader="none" w:pos="1162"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40" w:lineRule="exact"/>
        <w:rPr>
          <w:rFonts w:ascii="Arial" w:cs="Arial" w:eastAsia="Arial" w:hAnsi="Arial"/>
          <w:sz w:val="18"/>
          <w:szCs w:val="18"/>
          <w:color w:val="auto"/>
        </w:rPr>
      </w:pPr>
    </w:p>
    <w:p>
      <w:pPr>
        <w:ind w:right="760" w:firstLine="921"/>
        <w:spacing w:after="0" w:line="268" w:lineRule="auto"/>
        <w:tabs>
          <w:tab w:leader="none" w:pos="1162"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1" w:lineRule="exact"/>
        <w:rPr>
          <w:rFonts w:ascii="Arial" w:cs="Arial" w:eastAsia="Arial" w:hAnsi="Arial"/>
          <w:sz w:val="18"/>
          <w:szCs w:val="18"/>
          <w:color w:val="auto"/>
        </w:rPr>
      </w:pPr>
    </w:p>
    <w:p>
      <w:pPr>
        <w:ind w:right="20" w:firstLine="464"/>
        <w:spacing w:after="0" w:line="298" w:lineRule="auto"/>
        <w:tabs>
          <w:tab w:leader="none" w:pos="705"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12" w:lineRule="exact"/>
        <w:rPr>
          <w:rFonts w:ascii="Arial" w:cs="Arial" w:eastAsia="Arial" w:hAnsi="Arial"/>
          <w:sz w:val="16"/>
          <w:szCs w:val="16"/>
          <w:color w:val="auto"/>
        </w:rPr>
      </w:pPr>
    </w:p>
    <w:p>
      <w:pPr>
        <w:ind w:firstLine="464"/>
        <w:spacing w:after="0" w:line="290" w:lineRule="auto"/>
        <w:tabs>
          <w:tab w:leader="none" w:pos="695" w:val="left"/>
        </w:tabs>
        <w:numPr>
          <w:ilvl w:val="0"/>
          <w:numId w:val="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Active Power, Inc., certifies that it has reasonable grounds to believe that it meets all of the requirements for filing on Form S-8 and has duly caused this Registration Statement to be signed on its behalf by the undersigned, thereunto duly authorized, in the City of Austin, State of Texas, on May 21, 2010.</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A. CLISHEM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James A. Clishem</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80"/>
          </w:cols>
          <w:pgMar w:left="240" w:top="459" w:right="3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James Clishem and John Penver, and each of them, his attorneys-in-fact, each with the power of substitution, for him and in his name, place and stead, in any and all capacities, to sign any and all amendments to this Registration Statement,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such attorneys-in-fact and agents or any of them, or his or their substitute or substitutes, may lawfully do or cause to be done by virtue hereof.</w:t>
      </w:r>
    </w:p>
    <w:p>
      <w:pPr>
        <w:spacing w:after="0" w:line="14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S-8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0" w:type="dxa"/>
            <w:vAlign w:val="bottom"/>
          </w:tcPr>
          <w:p>
            <w:pPr>
              <w:spacing w:after="0"/>
              <w:rPr>
                <w:sz w:val="15"/>
                <w:szCs w:val="15"/>
                <w:color w:val="auto"/>
              </w:rPr>
            </w:pPr>
          </w:p>
        </w:tc>
        <w:tc>
          <w:tcPr>
            <w:tcW w:w="5020" w:type="dxa"/>
            <w:vAlign w:val="bottom"/>
            <w:tcBorders>
              <w:bottom w:val="single" w:sz="8" w:color="auto"/>
            </w:tcBorders>
          </w:tcPr>
          <w:p>
            <w:pPr>
              <w:ind w:left="2380"/>
              <w:spacing w:after="0"/>
              <w:rPr>
                <w:sz w:val="20"/>
                <w:szCs w:val="20"/>
                <w:color w:val="auto"/>
              </w:rPr>
            </w:pPr>
            <w:r>
              <w:rPr>
                <w:rFonts w:ascii="Arial" w:cs="Arial" w:eastAsia="Arial" w:hAnsi="Arial"/>
                <w:sz w:val="14"/>
                <w:szCs w:val="14"/>
                <w:b w:val="1"/>
                <w:bCs w:val="1"/>
                <w:color w:val="auto"/>
              </w:rPr>
              <w:t>Title</w:t>
            </w:r>
          </w:p>
        </w:tc>
        <w:tc>
          <w:tcPr>
            <w:tcW w:w="24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424"/>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AMES</w:t>
            </w:r>
            <w:r>
              <w:rPr>
                <w:rFonts w:ascii="Arial" w:cs="Arial" w:eastAsia="Arial" w:hAnsi="Arial"/>
                <w:sz w:val="18"/>
                <w:szCs w:val="18"/>
                <w:color w:val="auto"/>
              </w:rPr>
              <w:t xml:space="preserve"> A. C</w:t>
            </w:r>
            <w:r>
              <w:rPr>
                <w:rFonts w:ascii="Arial" w:cs="Arial" w:eastAsia="Arial" w:hAnsi="Arial"/>
                <w:sz w:val="14"/>
                <w:szCs w:val="14"/>
                <w:color w:val="auto"/>
              </w:rPr>
              <w:t>LISHEM</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3"/>
              </w:rPr>
              <w:t>Chief Executive Officer, President and Director (Principal Executive</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May 21, 2010</w:t>
            </w:r>
          </w:p>
        </w:tc>
      </w:tr>
      <w:tr>
        <w:trPr>
          <w:trHeight w:val="223"/>
        </w:trPr>
        <w:tc>
          <w:tcPr>
            <w:tcW w:w="4240" w:type="dxa"/>
            <w:vAlign w:val="bottom"/>
          </w:tcPr>
          <w:p>
            <w:pPr>
              <w:jc w:val="center"/>
              <w:spacing w:after="0"/>
              <w:rPr>
                <w:sz w:val="20"/>
                <w:szCs w:val="20"/>
                <w:color w:val="auto"/>
              </w:rPr>
            </w:pPr>
            <w:r>
              <w:rPr>
                <w:rFonts w:ascii="Arial" w:cs="Arial" w:eastAsia="Arial" w:hAnsi="Arial"/>
                <w:sz w:val="18"/>
                <w:szCs w:val="18"/>
                <w:color w:val="auto"/>
                <w:w w:val="88"/>
              </w:rPr>
              <w:t>James A. Clishem</w:t>
            </w:r>
          </w:p>
        </w:tc>
        <w:tc>
          <w:tcPr>
            <w:tcW w:w="220" w:type="dxa"/>
            <w:vAlign w:val="bottom"/>
          </w:tcPr>
          <w:p>
            <w:pPr>
              <w:spacing w:after="0"/>
              <w:rPr>
                <w:sz w:val="19"/>
                <w:szCs w:val="19"/>
                <w:color w:val="auto"/>
              </w:rPr>
            </w:pPr>
          </w:p>
        </w:tc>
        <w:tc>
          <w:tcPr>
            <w:tcW w:w="5020" w:type="dxa"/>
            <w:vAlign w:val="bottom"/>
          </w:tcPr>
          <w:p>
            <w:pPr>
              <w:spacing w:after="0" w:line="202" w:lineRule="exact"/>
              <w:rPr>
                <w:sz w:val="20"/>
                <w:szCs w:val="20"/>
                <w:color w:val="auto"/>
              </w:rPr>
            </w:pPr>
            <w:r>
              <w:rPr>
                <w:rFonts w:ascii="Arial" w:cs="Arial" w:eastAsia="Arial" w:hAnsi="Arial"/>
                <w:sz w:val="18"/>
                <w:szCs w:val="18"/>
                <w:color w:val="auto"/>
              </w:rPr>
              <w:t>Officer)</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3"/>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OHN</w:t>
            </w:r>
            <w:r>
              <w:rPr>
                <w:rFonts w:ascii="Arial" w:cs="Arial" w:eastAsia="Arial" w:hAnsi="Arial"/>
                <w:sz w:val="18"/>
                <w:szCs w:val="18"/>
                <w:color w:val="auto"/>
              </w:rPr>
              <w:t xml:space="preserve"> K. P</w:t>
            </w:r>
            <w:r>
              <w:rPr>
                <w:rFonts w:ascii="Arial" w:cs="Arial" w:eastAsia="Arial" w:hAnsi="Arial"/>
                <w:sz w:val="14"/>
                <w:szCs w:val="14"/>
                <w:color w:val="auto"/>
              </w:rPr>
              <w:t>ENVER</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4"/>
              </w:rPr>
              <w:t>Chief Financial Officer (Principal Financial and Accounting Officer)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May 21, 2010</w:t>
            </w:r>
          </w:p>
        </w:tc>
      </w:tr>
      <w:tr>
        <w:trPr>
          <w:trHeight w:val="222"/>
        </w:trPr>
        <w:tc>
          <w:tcPr>
            <w:tcW w:w="4240" w:type="dxa"/>
            <w:vAlign w:val="bottom"/>
          </w:tcPr>
          <w:p>
            <w:pPr>
              <w:jc w:val="center"/>
              <w:spacing w:after="0"/>
              <w:rPr>
                <w:sz w:val="20"/>
                <w:szCs w:val="20"/>
                <w:color w:val="auto"/>
              </w:rPr>
            </w:pPr>
            <w:r>
              <w:rPr>
                <w:rFonts w:ascii="Arial" w:cs="Arial" w:eastAsia="Arial" w:hAnsi="Arial"/>
                <w:sz w:val="18"/>
                <w:szCs w:val="18"/>
                <w:color w:val="auto"/>
                <w:w w:val="87"/>
              </w:rPr>
              <w:t>John K. Penver</w:t>
            </w:r>
          </w:p>
        </w:tc>
        <w:tc>
          <w:tcPr>
            <w:tcW w:w="2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3"/>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w:t>
            </w:r>
            <w:r>
              <w:rPr>
                <w:rFonts w:ascii="Arial" w:cs="Arial" w:eastAsia="Arial" w:hAnsi="Arial"/>
                <w:sz w:val="14"/>
                <w:szCs w:val="14"/>
                <w:color w:val="auto"/>
              </w:rPr>
              <w:t>ENJAMIN</w:t>
            </w:r>
            <w:r>
              <w:rPr>
                <w:rFonts w:ascii="Arial" w:cs="Arial" w:eastAsia="Arial" w:hAnsi="Arial"/>
                <w:sz w:val="18"/>
                <w:szCs w:val="18"/>
                <w:color w:val="auto"/>
              </w:rPr>
              <w:t xml:space="preserve"> L. S</w:t>
            </w:r>
            <w:r>
              <w:rPr>
                <w:rFonts w:ascii="Arial" w:cs="Arial" w:eastAsia="Arial" w:hAnsi="Arial"/>
                <w:sz w:val="14"/>
                <w:szCs w:val="14"/>
                <w:color w:val="auto"/>
              </w:rPr>
              <w:t>COTT</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Chairman of the Board, 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May 21, 2010</w:t>
            </w:r>
          </w:p>
        </w:tc>
      </w:tr>
      <w:tr>
        <w:trPr>
          <w:trHeight w:val="222"/>
        </w:trPr>
        <w:tc>
          <w:tcPr>
            <w:tcW w:w="4240" w:type="dxa"/>
            <w:vAlign w:val="bottom"/>
          </w:tcPr>
          <w:p>
            <w:pPr>
              <w:jc w:val="center"/>
              <w:spacing w:after="0"/>
              <w:rPr>
                <w:sz w:val="20"/>
                <w:szCs w:val="20"/>
                <w:color w:val="auto"/>
              </w:rPr>
            </w:pPr>
            <w:r>
              <w:rPr>
                <w:rFonts w:ascii="Arial" w:cs="Arial" w:eastAsia="Arial" w:hAnsi="Arial"/>
                <w:sz w:val="18"/>
                <w:szCs w:val="18"/>
                <w:color w:val="auto"/>
                <w:w w:val="90"/>
              </w:rPr>
              <w:t>Benjamin L. Scott</w:t>
            </w:r>
          </w:p>
        </w:tc>
        <w:tc>
          <w:tcPr>
            <w:tcW w:w="2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3"/>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KE</w:t>
            </w:r>
            <w:r>
              <w:rPr>
                <w:rFonts w:ascii="Arial" w:cs="Arial" w:eastAsia="Arial" w:hAnsi="Arial"/>
                <w:sz w:val="18"/>
                <w:szCs w:val="18"/>
                <w:color w:val="auto"/>
              </w:rPr>
              <w:t xml:space="preserve"> A</w:t>
            </w:r>
            <w:r>
              <w:rPr>
                <w:rFonts w:ascii="Arial" w:cs="Arial" w:eastAsia="Arial" w:hAnsi="Arial"/>
                <w:sz w:val="14"/>
                <w:szCs w:val="14"/>
                <w:color w:val="auto"/>
              </w:rPr>
              <w:t>LMGREN</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May 21, 2010</w:t>
            </w:r>
          </w:p>
        </w:tc>
      </w:tr>
      <w:tr>
        <w:trPr>
          <w:trHeight w:val="222"/>
        </w:trPr>
        <w:tc>
          <w:tcPr>
            <w:tcW w:w="4240" w:type="dxa"/>
            <w:vAlign w:val="bottom"/>
          </w:tcPr>
          <w:p>
            <w:pPr>
              <w:jc w:val="center"/>
              <w:spacing w:after="0"/>
              <w:rPr>
                <w:sz w:val="20"/>
                <w:szCs w:val="20"/>
                <w:color w:val="auto"/>
              </w:rPr>
            </w:pPr>
            <w:r>
              <w:rPr>
                <w:rFonts w:ascii="Arial" w:cs="Arial" w:eastAsia="Arial" w:hAnsi="Arial"/>
                <w:sz w:val="18"/>
                <w:szCs w:val="18"/>
                <w:color w:val="auto"/>
                <w:w w:val="93"/>
              </w:rPr>
              <w:t>Ake Almgren</w:t>
            </w:r>
          </w:p>
        </w:tc>
        <w:tc>
          <w:tcPr>
            <w:tcW w:w="2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3"/>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ODNEY</w:t>
            </w:r>
            <w:r>
              <w:rPr>
                <w:rFonts w:ascii="Arial" w:cs="Arial" w:eastAsia="Arial" w:hAnsi="Arial"/>
                <w:sz w:val="18"/>
                <w:szCs w:val="18"/>
                <w:color w:val="auto"/>
              </w:rPr>
              <w:t xml:space="preserve"> S. B</w:t>
            </w:r>
            <w:r>
              <w:rPr>
                <w:rFonts w:ascii="Arial" w:cs="Arial" w:eastAsia="Arial" w:hAnsi="Arial"/>
                <w:sz w:val="14"/>
                <w:szCs w:val="14"/>
                <w:color w:val="auto"/>
              </w:rPr>
              <w:t>OND</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May 21, 2010</w:t>
            </w:r>
          </w:p>
        </w:tc>
      </w:tr>
      <w:tr>
        <w:trPr>
          <w:trHeight w:val="222"/>
        </w:trPr>
        <w:tc>
          <w:tcPr>
            <w:tcW w:w="4240" w:type="dxa"/>
            <w:vAlign w:val="bottom"/>
          </w:tcPr>
          <w:p>
            <w:pPr>
              <w:jc w:val="center"/>
              <w:spacing w:after="0"/>
              <w:rPr>
                <w:sz w:val="20"/>
                <w:szCs w:val="20"/>
                <w:color w:val="auto"/>
              </w:rPr>
            </w:pPr>
            <w:r>
              <w:rPr>
                <w:rFonts w:ascii="Arial" w:cs="Arial" w:eastAsia="Arial" w:hAnsi="Arial"/>
                <w:sz w:val="18"/>
                <w:szCs w:val="18"/>
                <w:color w:val="auto"/>
                <w:w w:val="88"/>
              </w:rPr>
              <w:t>Rodney S. Bond</w:t>
            </w:r>
          </w:p>
        </w:tc>
        <w:tc>
          <w:tcPr>
            <w:tcW w:w="2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3"/>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AMES</w:t>
            </w:r>
            <w:r>
              <w:rPr>
                <w:rFonts w:ascii="Arial" w:cs="Arial" w:eastAsia="Arial" w:hAnsi="Arial"/>
                <w:sz w:val="18"/>
                <w:szCs w:val="18"/>
                <w:color w:val="auto"/>
              </w:rPr>
              <w:t xml:space="preserve"> E. </w:t>
            </w:r>
            <w:r>
              <w:rPr>
                <w:rFonts w:ascii="Arial" w:cs="Arial" w:eastAsia="Arial" w:hAnsi="Arial"/>
                <w:sz w:val="14"/>
                <w:szCs w:val="14"/>
                <w:color w:val="auto"/>
              </w:rPr>
              <w:t>DE</w:t>
            </w:r>
            <w:r>
              <w:rPr>
                <w:rFonts w:ascii="Arial" w:cs="Arial" w:eastAsia="Arial" w:hAnsi="Arial"/>
                <w:sz w:val="18"/>
                <w:szCs w:val="18"/>
                <w:color w:val="auto"/>
              </w:rPr>
              <w:t>V</w:t>
            </w:r>
            <w:r>
              <w:rPr>
                <w:rFonts w:ascii="Arial" w:cs="Arial" w:eastAsia="Arial" w:hAnsi="Arial"/>
                <w:sz w:val="14"/>
                <w:szCs w:val="14"/>
                <w:color w:val="auto"/>
              </w:rPr>
              <w:t>ENNY</w:t>
            </w:r>
            <w:r>
              <w:rPr>
                <w:rFonts w:ascii="Arial" w:cs="Arial" w:eastAsia="Arial" w:hAnsi="Arial"/>
                <w:sz w:val="18"/>
                <w:szCs w:val="18"/>
                <w:color w:val="auto"/>
              </w:rPr>
              <w:t xml:space="preserve"> III</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May 21, 2010</w:t>
            </w:r>
          </w:p>
        </w:tc>
      </w:tr>
      <w:tr>
        <w:trPr>
          <w:trHeight w:val="222"/>
        </w:trPr>
        <w:tc>
          <w:tcPr>
            <w:tcW w:w="4240" w:type="dxa"/>
            <w:vAlign w:val="bottom"/>
          </w:tcPr>
          <w:p>
            <w:pPr>
              <w:jc w:val="center"/>
              <w:spacing w:after="0"/>
              <w:rPr>
                <w:sz w:val="20"/>
                <w:szCs w:val="20"/>
                <w:color w:val="auto"/>
              </w:rPr>
            </w:pPr>
            <w:r>
              <w:rPr>
                <w:rFonts w:ascii="Arial" w:cs="Arial" w:eastAsia="Arial" w:hAnsi="Arial"/>
                <w:sz w:val="18"/>
                <w:szCs w:val="18"/>
                <w:color w:val="auto"/>
                <w:w w:val="87"/>
              </w:rPr>
              <w:t>James E. deVenny III</w:t>
            </w:r>
          </w:p>
        </w:tc>
        <w:tc>
          <w:tcPr>
            <w:tcW w:w="2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3"/>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OBERT</w:t>
            </w:r>
            <w:r>
              <w:rPr>
                <w:rFonts w:ascii="Arial" w:cs="Arial" w:eastAsia="Arial" w:hAnsi="Arial"/>
                <w:sz w:val="18"/>
                <w:szCs w:val="18"/>
                <w:color w:val="auto"/>
              </w:rPr>
              <w:t xml:space="preserve"> S. G</w:t>
            </w:r>
            <w:r>
              <w:rPr>
                <w:rFonts w:ascii="Arial" w:cs="Arial" w:eastAsia="Arial" w:hAnsi="Arial"/>
                <w:sz w:val="14"/>
                <w:szCs w:val="14"/>
                <w:color w:val="auto"/>
              </w:rPr>
              <w:t>REENBERG</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May 14, 2010</w:t>
            </w:r>
          </w:p>
        </w:tc>
      </w:tr>
      <w:tr>
        <w:trPr>
          <w:trHeight w:val="222"/>
        </w:trPr>
        <w:tc>
          <w:tcPr>
            <w:tcW w:w="4240" w:type="dxa"/>
            <w:vAlign w:val="bottom"/>
          </w:tcPr>
          <w:p>
            <w:pPr>
              <w:jc w:val="center"/>
              <w:spacing w:after="0"/>
              <w:rPr>
                <w:sz w:val="20"/>
                <w:szCs w:val="20"/>
                <w:color w:val="auto"/>
              </w:rPr>
            </w:pPr>
            <w:r>
              <w:rPr>
                <w:rFonts w:ascii="Arial" w:cs="Arial" w:eastAsia="Arial" w:hAnsi="Arial"/>
                <w:sz w:val="18"/>
                <w:szCs w:val="18"/>
                <w:color w:val="auto"/>
                <w:w w:val="86"/>
              </w:rPr>
              <w:t>Robert S. Greenberg</w:t>
            </w:r>
          </w:p>
        </w:tc>
        <w:tc>
          <w:tcPr>
            <w:tcW w:w="2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3"/>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AN</w:t>
            </w:r>
            <w:r>
              <w:rPr>
                <w:rFonts w:ascii="Arial" w:cs="Arial" w:eastAsia="Arial" w:hAnsi="Arial"/>
                <w:sz w:val="18"/>
                <w:szCs w:val="18"/>
                <w:color w:val="auto"/>
              </w:rPr>
              <w:t xml:space="preserve"> H. L</w:t>
            </w:r>
            <w:r>
              <w:rPr>
                <w:rFonts w:ascii="Arial" w:cs="Arial" w:eastAsia="Arial" w:hAnsi="Arial"/>
                <w:sz w:val="14"/>
                <w:szCs w:val="14"/>
                <w:color w:val="auto"/>
              </w:rPr>
              <w:t>INDELOW</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May 21, 2010</w:t>
            </w:r>
          </w:p>
        </w:tc>
      </w:tr>
      <w:tr>
        <w:trPr>
          <w:trHeight w:val="222"/>
        </w:trPr>
        <w:tc>
          <w:tcPr>
            <w:tcW w:w="4240" w:type="dxa"/>
            <w:vAlign w:val="bottom"/>
          </w:tcPr>
          <w:p>
            <w:pPr>
              <w:jc w:val="center"/>
              <w:spacing w:after="0"/>
              <w:rPr>
                <w:sz w:val="20"/>
                <w:szCs w:val="20"/>
                <w:color w:val="auto"/>
              </w:rPr>
            </w:pPr>
            <w:r>
              <w:rPr>
                <w:rFonts w:ascii="Arial" w:cs="Arial" w:eastAsia="Arial" w:hAnsi="Arial"/>
                <w:sz w:val="18"/>
                <w:szCs w:val="18"/>
                <w:color w:val="auto"/>
                <w:w w:val="90"/>
              </w:rPr>
              <w:t>Jan H. Lindelow</w:t>
            </w:r>
          </w:p>
        </w:tc>
        <w:tc>
          <w:tcPr>
            <w:tcW w:w="2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ACTIVE POWER,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REGISTRATION STATEMENT ON FORM S-8</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INDEX TO EXHIBITS</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ind w:left="140"/>
        <w:spacing w:after="0"/>
        <w:tabs>
          <w:tab w:leader="none" w:pos="6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-8255</wp:posOffset>
            </wp:positionV>
            <wp:extent cx="2832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93"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Restated Certificate of Incorporation (filed as Exhibit 3.1 to Active Power’s Quarterly Report on Form 10-Q filed on July 28, 2006).</w:t>
      </w:r>
    </w:p>
    <w:p>
      <w:pPr>
        <w:spacing w:after="0" w:line="11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Second Amended and Restated Bylaws (filed as Exhibit 3.2 to Active Power’s Current Report on Form 8-K filed on February 2, 2007).</w:t>
      </w:r>
    </w:p>
    <w:p>
      <w:pPr>
        <w:spacing w:after="0" w:line="11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Amendment to Second Amended and Restated Bylaws (filed as Exhibit 3.01 to Active Power’s Current Report on Form 8-K filed on December 7,</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2007).</w:t>
      </w:r>
    </w:p>
    <w:p>
      <w:pPr>
        <w:spacing w:after="0" w:line="111" w:lineRule="exact"/>
        <w:rPr>
          <w:sz w:val="20"/>
          <w:szCs w:val="20"/>
          <w:color w:val="auto"/>
        </w:rPr>
      </w:pPr>
    </w:p>
    <w:p>
      <w:pPr>
        <w:ind w:left="700" w:hanging="600"/>
        <w:spacing w:after="0" w:line="306" w:lineRule="auto"/>
        <w:tabs>
          <w:tab w:leader="none" w:pos="6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Rights Agreement, dated as of December 13, 2001, between Active Power and EquiServe Trust N.A., which includes the form of Certificate of Designation for the Series A Junior Participating Preferred Stock as Exhibit A, the form of Rights Certificate as Exhibit B and the Summary of Rights to Purchase Series A Preferred Stock as Exhibit C (filed as Exhibit 4 to Active Power’s Current Report on Form 8-K filed on December 14, 2001).</w:t>
      </w:r>
    </w:p>
    <w:p>
      <w:pPr>
        <w:spacing w:after="0" w:line="53"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counsel as to legality of securities being registered.</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Active Power, Inc. 2010 Equity Incentive Plan (filed as Exhibit 10.1 to Active Power’s Current Report on Form 8-K filed on May 18, 2010).</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counsel (contained in Exhibit 5.1).</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(see page II-5).</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20"/>
          </w:cols>
          <w:pgMar w:left="240" w:top="459"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5.1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21,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2128 W. Braker Lane, BK12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Texas 78758</w:t>
      </w:r>
    </w:p>
    <w:p>
      <w:pPr>
        <w:spacing w:after="0" w:line="199"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5"/>
          <w:szCs w:val="15"/>
          <w:b w:val="1"/>
          <w:bCs w:val="1"/>
          <w:u w:val="single" w:color="auto"/>
          <w:color w:val="auto"/>
        </w:rPr>
        <w:t>Registration Statement on Form S-8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examined the registration statement on Form S-8 to be filed by you with the Securities and Exchange Commission on or about May 21, 2010 (the “Registration Statement”) in connection with the registration under the Securities Act of 1933, as amended, of 3,247,406 shares of your Common Stock (the “Shares”) reserved for issuance under the 2010 Equity Incentive Plan (the “Plan”). As your legal counsel, we have examined the proceedings taken and proposed to be taken in connection with the issuance, sale and payment of consideration for the Shares to be issued under the Plan.</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It is our opinion that, when issued and sold in compliance with the applicable prospectus delivery requirements and in the manner referred to in the Plan and pursuant to the agreements that accompany the Plan, and upon completion of the actions being taken or proposed to be taken to permit such transactions to be carried out in accordance with the securities laws of the various states where required, the Shares, when issued and sold in the manner described under the Plan and the agreements that accompany the Plan, will be legally and validly issued, fully paid and non-assessable.</w:t>
      </w:r>
    </w:p>
    <w:p>
      <w:pPr>
        <w:spacing w:after="0" w:line="11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the use of our name wherever appearing in the Registration Statement, including any Prospectus constituting a part thereof, and any amendments thereto.</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w:t>
      </w:r>
      <w:r>
        <w:rPr>
          <w:rFonts w:ascii="Arial" w:cs="Arial" w:eastAsia="Arial" w:hAnsi="Arial"/>
          <w:sz w:val="14"/>
          <w:szCs w:val="14"/>
          <w:color w:val="auto"/>
        </w:rPr>
        <w:t>ILSON</w:t>
      </w:r>
      <w:r>
        <w:rPr>
          <w:rFonts w:ascii="Arial" w:cs="Arial" w:eastAsia="Arial" w:hAnsi="Arial"/>
          <w:sz w:val="18"/>
          <w:szCs w:val="18"/>
          <w:color w:val="auto"/>
        </w:rPr>
        <w:t xml:space="preserve"> S</w:t>
      </w:r>
      <w:r>
        <w:rPr>
          <w:rFonts w:ascii="Arial" w:cs="Arial" w:eastAsia="Arial" w:hAnsi="Arial"/>
          <w:sz w:val="14"/>
          <w:szCs w:val="14"/>
          <w:color w:val="auto"/>
        </w:rPr>
        <w:t>ONSINI</w:t>
      </w:r>
      <w:r>
        <w:rPr>
          <w:rFonts w:ascii="Arial" w:cs="Arial" w:eastAsia="Arial" w:hAnsi="Arial"/>
          <w:sz w:val="18"/>
          <w:szCs w:val="18"/>
          <w:color w:val="auto"/>
        </w:rPr>
        <w:t xml:space="preserve"> G</w:t>
      </w:r>
      <w:r>
        <w:rPr>
          <w:rFonts w:ascii="Arial" w:cs="Arial" w:eastAsia="Arial" w:hAnsi="Arial"/>
          <w:sz w:val="14"/>
          <w:szCs w:val="14"/>
          <w:color w:val="auto"/>
        </w:rPr>
        <w:t>OODRICH</w:t>
      </w:r>
      <w:r>
        <w:rPr>
          <w:rFonts w:ascii="Arial" w:cs="Arial" w:eastAsia="Arial" w:hAnsi="Arial"/>
          <w:sz w:val="18"/>
          <w:szCs w:val="18"/>
          <w:color w:val="auto"/>
        </w:rPr>
        <w:t xml:space="preserve"> &amp; R</w:t>
      </w:r>
      <w:r>
        <w:rPr>
          <w:rFonts w:ascii="Arial" w:cs="Arial" w:eastAsia="Arial" w:hAnsi="Arial"/>
          <w:sz w:val="14"/>
          <w:szCs w:val="14"/>
          <w:color w:val="auto"/>
        </w:rPr>
        <w:t>OSATI</w:t>
      </w:r>
      <w:r>
        <w:rPr>
          <w:rFonts w:ascii="Arial" w:cs="Arial" w:eastAsia="Arial" w:hAnsi="Arial"/>
          <w:sz w:val="18"/>
          <w:szCs w:val="18"/>
          <w:color w:val="auto"/>
        </w:rPr>
        <w:t>, P.C.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WILSON SONSINI GOODRICH &amp; ROSATI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Professional Corporation</w:t>
      </w:r>
    </w:p>
    <w:p>
      <w:pPr>
        <w:sectPr>
          <w:pgSz w:w="11900" w:h="16838" w:orient="portrait"/>
          <w:cols w:equalWidth="0" w:num="1">
            <w:col w:w="11420"/>
          </w:cols>
          <w:pgMar w:left="240" w:top="125"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consent to the incorporation by reference in the Registration Statement on Form S-8, pertaining to the 2010 Equity Incentive Plan of Active Power, Inc., of our reports dated March 4, 2010, with respect to the consolidated financial statements of Active Power, Inc. and the effectiveness of internal control over financial reporting of Active Power, Inc., included in its Annual Report (Form 10-K) for the year ended December 31, 2009, filed with the Securities and Exchange Commission.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21, 2010</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8"/>
    </w:lvl>
  </w:abstractNum>
  <w:abstractNum w:abstractNumId="3">
    <w:nsid w:val="3D1B58B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507ED7AB"/>
    <w:multiLevelType w:val="hybridMultilevel"/>
    <w:lvl w:ilvl="0">
      <w:lvlJc w:val="left"/>
      <w:lvlText w:val="(%1)"/>
      <w:numFmt w:val="lowerRoman"/>
      <w:start w:val="3"/>
    </w:lvl>
  </w:abstractNum>
  <w:abstractNum w:abstractNumId="5">
    <w:nsid w:val="2EB141F2"/>
    <w:multiLevelType w:val="hybridMultilevel"/>
    <w:lvl w:ilvl="0">
      <w:lvlJc w:val="left"/>
      <w:lvlText w:val="%1"/>
      <w:numFmt w:val="lowerLetter"/>
      <w:start w:val="1"/>
    </w:lvl>
    <w:lvl w:ilvl="1">
      <w:lvlJc w:val="left"/>
      <w:lvlText w:val="(%2)"/>
      <w:numFmt w:val="decimal"/>
      <w:start w:val="2"/>
    </w:lvl>
  </w:abstractNum>
  <w:abstractNum w:abstractNumId="6">
    <w:nsid w:val="41B71EFB"/>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2019-12-10T15:40:13Z</dcterms:created>
  <dcterms:modified xsi:type="dcterms:W3CDTF">2019-12-10T15:40:13Z</dcterms:modified>
</cp:coreProperties>
</file>