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Table of Contents</w:t>
        </w:r>
      </w:hyperlink>
    </w:p>
    <w:p>
      <w:pPr>
        <w:spacing w:after="0" w:line="327" w:lineRule="exact"/>
        <w:rPr>
          <w:sz w:val="24"/>
          <w:szCs w:val="24"/>
          <w:color w:val="auto"/>
        </w:rPr>
      </w:pPr>
    </w:p>
    <w:p>
      <w:pPr>
        <w:jc w:val="both"/>
        <w:ind w:right="140"/>
        <w:spacing w:after="0" w:line="238" w:lineRule="auto"/>
        <w:rPr>
          <w:sz w:val="20"/>
          <w:szCs w:val="20"/>
          <w:color w:val="auto"/>
        </w:rPr>
      </w:pPr>
      <w:r>
        <w:rPr>
          <w:rFonts w:ascii="Arial" w:cs="Arial" w:eastAsia="Arial" w:hAnsi="Arial"/>
          <w:sz w:val="18"/>
          <w:szCs w:val="18"/>
          <w:color w:val="DE1A1E"/>
        </w:rPr>
        <w:t>The information in this preliminary prospectus supplement is not complete and may be changed. This preliminary prospectus supplement and the accompanying prospectus are not an offer to sell securities and are not soliciting an offer to buy these securities in any jurisdiction where the offer or sale is not permitted.</w:t>
      </w:r>
    </w:p>
    <w:p>
      <w:pPr>
        <w:spacing w:after="0" w:line="12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333-163301</w:t>
      </w:r>
    </w:p>
    <w:p>
      <w:pPr>
        <w:spacing w:after="0" w:line="14" w:lineRule="exact"/>
        <w:rPr>
          <w:sz w:val="24"/>
          <w:szCs w:val="24"/>
          <w:color w:val="auto"/>
        </w:rPr>
      </w:pPr>
    </w:p>
    <w:p>
      <w:pPr>
        <w:ind w:left="3360"/>
        <w:spacing w:after="0"/>
        <w:rPr>
          <w:sz w:val="20"/>
          <w:szCs w:val="20"/>
          <w:color w:val="auto"/>
        </w:rPr>
      </w:pPr>
      <w:r>
        <w:rPr>
          <w:rFonts w:ascii="Arial" w:cs="Arial" w:eastAsia="Arial" w:hAnsi="Arial"/>
          <w:sz w:val="18"/>
          <w:szCs w:val="18"/>
          <w:color w:val="DE1A1E"/>
        </w:rPr>
        <w:t>SUBJECT TO COMPLETION, DATED FEBRUARY 18, 2010</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PROSPECTUS SUPPLEMENT TO PROSPECTUS DATED DECEMBER 21,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552450</wp:posOffset>
            </wp:positionV>
            <wp:extent cx="1852295"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Active Power, Inc.</w:t>
      </w:r>
    </w:p>
    <w:p>
      <w:pPr>
        <w:spacing w:after="0" w:line="192" w:lineRule="exact"/>
        <w:rPr>
          <w:sz w:val="24"/>
          <w:szCs w:val="24"/>
          <w:color w:val="auto"/>
        </w:rPr>
      </w:pPr>
    </w:p>
    <w:p>
      <w:pPr>
        <w:ind w:left="5860"/>
        <w:spacing w:after="0"/>
        <w:rPr>
          <w:sz w:val="20"/>
          <w:szCs w:val="20"/>
          <w:color w:val="auto"/>
        </w:rPr>
      </w:pPr>
      <w:r>
        <w:rPr>
          <w:rFonts w:ascii="Arial" w:cs="Arial" w:eastAsia="Arial" w:hAnsi="Arial"/>
          <w:sz w:val="22"/>
          <w:szCs w:val="22"/>
          <w:color w:val="auto"/>
        </w:rPr>
        <w:t>Shares</w:t>
      </w:r>
    </w:p>
    <w:p>
      <w:pPr>
        <w:ind w:left="4980"/>
        <w:spacing w:after="0" w:line="230" w:lineRule="auto"/>
        <w:rPr>
          <w:sz w:val="20"/>
          <w:szCs w:val="20"/>
          <w:color w:val="auto"/>
        </w:rPr>
      </w:pPr>
      <w:r>
        <w:rPr>
          <w:rFonts w:ascii="Arial" w:cs="Arial" w:eastAsia="Arial" w:hAnsi="Arial"/>
          <w:sz w:val="22"/>
          <w:szCs w:val="22"/>
          <w:color w:val="auto"/>
        </w:rPr>
        <w:t>Common Stock</w:t>
      </w:r>
    </w:p>
    <w:p>
      <w:pPr>
        <w:spacing w:after="0" w:line="1" w:lineRule="exact"/>
        <w:rPr>
          <w:sz w:val="24"/>
          <w:szCs w:val="24"/>
          <w:color w:val="auto"/>
        </w:rPr>
      </w:pPr>
    </w:p>
    <w:p>
      <w:pPr>
        <w:ind w:left="5700" w:hanging="893"/>
        <w:spacing w:after="0"/>
        <w:tabs>
          <w:tab w:leader="none" w:pos="5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Active Power, Inc. is selling shares of its common stock in this offering.</w:t>
      </w:r>
    </w:p>
    <w:p>
      <w:pPr>
        <w:spacing w:after="0" w:line="158" w:lineRule="exact"/>
        <w:rPr>
          <w:sz w:val="24"/>
          <w:szCs w:val="24"/>
          <w:color w:val="auto"/>
        </w:rPr>
      </w:pPr>
    </w:p>
    <w:p>
      <w:pPr>
        <w:ind w:right="360"/>
        <w:spacing w:after="0" w:line="239" w:lineRule="auto"/>
        <w:rPr>
          <w:sz w:val="20"/>
          <w:szCs w:val="20"/>
          <w:color w:val="auto"/>
        </w:rPr>
      </w:pPr>
      <w:r>
        <w:rPr>
          <w:rFonts w:ascii="Arial" w:cs="Arial" w:eastAsia="Arial" w:hAnsi="Arial"/>
          <w:sz w:val="18"/>
          <w:szCs w:val="18"/>
          <w:color w:val="auto"/>
        </w:rPr>
        <w:t>Our common stock is listed on The Nasdaq Global Market under the symbol “ACPW.” On February 17, 2010, the last reported sale price of our common stock on The Nasdaq Global Market was $0.97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ind w:right="120"/>
        <w:spacing w:after="0" w:line="233" w:lineRule="auto"/>
        <w:rPr>
          <w:rFonts w:ascii="Arial" w:cs="Arial" w:eastAsia="Arial" w:hAnsi="Arial"/>
          <w:sz w:val="22"/>
          <w:szCs w:val="22"/>
          <w:color w:val="auto"/>
        </w:rPr>
      </w:pPr>
      <w:r>
        <w:rPr>
          <w:rFonts w:ascii="Arial" w:cs="Arial" w:eastAsia="Arial" w:hAnsi="Arial"/>
          <w:sz w:val="22"/>
          <w:szCs w:val="22"/>
          <w:color w:val="auto"/>
        </w:rPr>
        <w:t>INVESTING IN OUR COMMON STOCK INVOLVES A HIGH DEGREE OF RISK. SEE “</w:t>
      </w:r>
      <w:hyperlink w:anchor="page9">
        <w:r>
          <w:rPr>
            <w:rFonts w:ascii="Arial" w:cs="Arial" w:eastAsia="Arial" w:hAnsi="Arial"/>
            <w:sz w:val="22"/>
            <w:szCs w:val="22"/>
            <w:u w:val="single" w:color="auto"/>
            <w:color w:val="0000EE"/>
          </w:rPr>
          <w:t>RISK FACTORS</w:t>
        </w:r>
      </w:hyperlink>
      <w:r>
        <w:rPr>
          <w:rFonts w:ascii="Arial" w:cs="Arial" w:eastAsia="Arial" w:hAnsi="Arial"/>
          <w:sz w:val="22"/>
          <w:szCs w:val="22"/>
          <w:color w:val="auto"/>
        </w:rPr>
        <w:t>” BEGINNING ON PAGE S-5 OF THIS PROSPECTUS SUPPLEMENT. YOU SHOULD READ THIS PROSPECTUS SUPPLEMENT, THE ACCOMPANYING PROSPECTUS, AND THE DOCUMENTS INCORPORATED BY REFERENCE INTO THIS PROSPECTUS SUPPLEMENT AND THE ACCOMPANYING PROSPECTUS CAREFULLY BEFORE YOU MAKE YOUR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3940" w:type="dxa"/>
            <w:vAlign w:val="bottom"/>
          </w:tcPr>
          <w:p>
            <w:pPr>
              <w:ind w:left="2760"/>
              <w:spacing w:after="0"/>
              <w:rPr>
                <w:sz w:val="20"/>
                <w:szCs w:val="20"/>
                <w:color w:val="auto"/>
              </w:rPr>
            </w:pPr>
            <w:r>
              <w:rPr>
                <w:rFonts w:ascii="Arial" w:cs="Arial" w:eastAsia="Arial" w:hAnsi="Arial"/>
                <w:sz w:val="18"/>
                <w:szCs w:val="18"/>
                <w:color w:val="auto"/>
              </w:rPr>
              <w:t>Per Share</w:t>
            </w:r>
          </w:p>
        </w:tc>
        <w:tc>
          <w:tcPr>
            <w:tcW w:w="1180" w:type="dxa"/>
            <w:vAlign w:val="bottom"/>
          </w:tcPr>
          <w:p>
            <w:pPr>
              <w:jc w:val="right"/>
              <w:spacing w:after="0"/>
              <w:rPr>
                <w:sz w:val="20"/>
                <w:szCs w:val="20"/>
                <w:color w:val="auto"/>
              </w:rPr>
            </w:pPr>
            <w:r>
              <w:rPr>
                <w:rFonts w:ascii="Arial" w:cs="Arial" w:eastAsia="Arial" w:hAnsi="Arial"/>
                <w:sz w:val="18"/>
                <w:szCs w:val="18"/>
                <w:color w:val="auto"/>
              </w:rPr>
              <w:t>Total</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Public offering price</w:t>
            </w:r>
          </w:p>
        </w:tc>
        <w:tc>
          <w:tcPr>
            <w:tcW w:w="3940" w:type="dxa"/>
            <w:vAlign w:val="bottom"/>
          </w:tcPr>
          <w:p>
            <w:pPr>
              <w:ind w:left="27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3940" w:type="dxa"/>
            <w:vAlign w:val="bottom"/>
          </w:tcPr>
          <w:p>
            <w:pPr>
              <w:ind w:left="27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w:t>
            </w:r>
          </w:p>
        </w:tc>
      </w:tr>
      <w:tr>
        <w:trPr>
          <w:trHeight w:val="211"/>
        </w:trPr>
        <w:tc>
          <w:tcPr>
            <w:tcW w:w="59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940" w:type="dxa"/>
            <w:vAlign w:val="bottom"/>
          </w:tcPr>
          <w:p>
            <w:pPr>
              <w:ind w:left="2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92"/>
              <w:spacing w:after="0"/>
              <w:rPr>
                <w:sz w:val="20"/>
                <w:szCs w:val="20"/>
                <w:color w:val="auto"/>
              </w:rPr>
            </w:pPr>
            <w:r>
              <w:rPr>
                <w:rFonts w:ascii="Arial" w:cs="Arial" w:eastAsia="Arial" w:hAnsi="Arial"/>
                <w:sz w:val="18"/>
                <w:szCs w:val="18"/>
                <w:color w:val="auto"/>
              </w:rPr>
              <w:t>$</w:t>
            </w:r>
          </w:p>
        </w:tc>
      </w:tr>
    </w:tbl>
    <w:p>
      <w:pPr>
        <w:spacing w:after="0" w:line="132" w:lineRule="exact"/>
        <w:rPr>
          <w:sz w:val="24"/>
          <w:szCs w:val="24"/>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4"/>
          <w:szCs w:val="24"/>
          <w:color w:val="auto"/>
        </w:rPr>
      </w:pPr>
    </w:p>
    <w:p>
      <w:pPr>
        <w:ind w:left="3480"/>
        <w:spacing w:after="0"/>
        <w:rPr>
          <w:sz w:val="20"/>
          <w:szCs w:val="20"/>
          <w:color w:val="auto"/>
        </w:rPr>
      </w:pPr>
      <w:r>
        <w:rPr>
          <w:rFonts w:ascii="Arial" w:cs="Arial" w:eastAsia="Arial" w:hAnsi="Arial"/>
          <w:sz w:val="32"/>
          <w:szCs w:val="32"/>
          <w:b w:val="1"/>
          <w:bCs w:val="1"/>
          <w:color w:val="auto"/>
        </w:rPr>
        <w:t>Thomas Weisel Partners LLC</w:t>
      </w:r>
    </w:p>
    <w:p>
      <w:pPr>
        <w:spacing w:after="0" w:line="212" w:lineRule="exact"/>
        <w:rPr>
          <w:sz w:val="24"/>
          <w:szCs w:val="24"/>
          <w:color w:val="auto"/>
        </w:rPr>
      </w:pPr>
    </w:p>
    <w:p>
      <w:pPr>
        <w:spacing w:after="0"/>
        <w:tabs>
          <w:tab w:leader="none" w:pos="4240" w:val="left"/>
        </w:tabs>
        <w:rPr>
          <w:sz w:val="20"/>
          <w:szCs w:val="20"/>
          <w:color w:val="auto"/>
        </w:rPr>
      </w:pPr>
      <w:r>
        <w:rPr>
          <w:rFonts w:ascii="Arial" w:cs="Arial" w:eastAsia="Arial" w:hAnsi="Arial"/>
          <w:sz w:val="18"/>
          <w:szCs w:val="18"/>
          <w:color w:val="auto"/>
        </w:rPr>
        <w:t>The date of this prospectus supplement is February</w:t>
      </w:r>
      <w:r>
        <w:rPr>
          <w:sz w:val="20"/>
          <w:szCs w:val="20"/>
          <w:color w:val="auto"/>
        </w:rPr>
        <w:tab/>
      </w:r>
      <w:r>
        <w:rPr>
          <w:rFonts w:ascii="Arial" w:cs="Arial" w:eastAsia="Arial" w:hAnsi="Arial"/>
          <w:sz w:val="16"/>
          <w:szCs w:val="16"/>
          <w:color w:val="auto"/>
        </w:rPr>
        <w:t>, 2010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4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w w:val="95"/>
              </w:rPr>
              <w:t>PROSPECTUS SUPPLEMENT</w:t>
            </w:r>
          </w:p>
        </w:tc>
        <w:tc>
          <w:tcPr>
            <w:tcW w:w="0" w:type="dxa"/>
            <w:vAlign w:val="bottom"/>
          </w:tcPr>
          <w:p>
            <w:pPr>
              <w:spacing w:after="0"/>
              <w:rPr>
                <w:sz w:val="1"/>
                <w:szCs w:val="1"/>
                <w:color w:val="auto"/>
              </w:rPr>
            </w:pPr>
          </w:p>
        </w:tc>
      </w:tr>
      <w:tr>
        <w:trPr>
          <w:trHeight w:val="353"/>
        </w:trPr>
        <w:tc>
          <w:tcPr>
            <w:tcW w:w="380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726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3800" w:type="dxa"/>
            <w:vAlign w:val="bottom"/>
            <w:gridSpan w:val="16"/>
            <w:vMerge w:val="continue"/>
          </w:tcPr>
          <w:p>
            <w:pPr>
              <w:spacing w:after="0"/>
              <w:rPr>
                <w:sz w:val="14"/>
                <w:szCs w:val="14"/>
                <w:color w:val="auto"/>
              </w:rPr>
            </w:pPr>
          </w:p>
        </w:tc>
        <w:tc>
          <w:tcPr>
            <w:tcW w:w="7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360" w:type="dxa"/>
            <w:vAlign w:val="bottom"/>
            <w:tcBorders>
              <w:top w:val="single" w:sz="8" w:color="0000EE"/>
            </w:tcBorders>
          </w:tcPr>
          <w:p>
            <w:pPr>
              <w:spacing w:after="0"/>
              <w:rPr>
                <w:sz w:val="17"/>
                <w:szCs w:val="17"/>
                <w:color w:val="auto"/>
              </w:rPr>
            </w:pPr>
          </w:p>
        </w:tc>
        <w:tc>
          <w:tcPr>
            <w:tcW w:w="1000" w:type="dxa"/>
            <w:vAlign w:val="bottom"/>
            <w:gridSpan w:val="2"/>
          </w:tcPr>
          <w:p>
            <w:pPr>
              <w:spacing w:after="0"/>
              <w:rPr>
                <w:sz w:val="17"/>
                <w:szCs w:val="17"/>
                <w:color w:val="auto"/>
              </w:rPr>
            </w:pPr>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1420" w:type="dxa"/>
            <w:vAlign w:val="bottom"/>
            <w:gridSpan w:val="4"/>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 Regarding Forward-Looking Statements</w:t>
              </w:r>
            </w:hyperlink>
          </w:p>
        </w:tc>
        <w:tc>
          <w:tcPr>
            <w:tcW w:w="56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2900" w:type="dxa"/>
            <w:vAlign w:val="bottom"/>
            <w:gridSpan w:val="13"/>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196"/>
        </w:trPr>
        <w:tc>
          <w:tcPr>
            <w:tcW w:w="380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Dilution</w:t>
              </w:r>
            </w:hyperlink>
          </w:p>
        </w:tc>
        <w:tc>
          <w:tcPr>
            <w:tcW w:w="540" w:type="dxa"/>
            <w:vAlign w:val="bottom"/>
            <w:tcBorders>
              <w:top w:val="single" w:sz="8" w:color="0000EE"/>
            </w:tcBorders>
            <w:gridSpan w:val="4"/>
          </w:tcPr>
          <w:p>
            <w:pPr>
              <w:spacing w:after="0"/>
              <w:rPr>
                <w:sz w:val="17"/>
                <w:szCs w:val="17"/>
                <w:color w:val="auto"/>
              </w:rPr>
            </w:pPr>
          </w:p>
        </w:tc>
        <w:tc>
          <w:tcPr>
            <w:tcW w:w="2660" w:type="dxa"/>
            <w:vAlign w:val="bottom"/>
            <w:gridSpan w:val="10"/>
          </w:tcPr>
          <w:p>
            <w:pPr>
              <w:spacing w:after="0"/>
              <w:rPr>
                <w:sz w:val="17"/>
                <w:szCs w:val="17"/>
                <w:color w:val="auto"/>
              </w:rPr>
            </w:pPr>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Underwriting</w:t>
              </w:r>
            </w:hyperlink>
          </w:p>
        </w:tc>
        <w:tc>
          <w:tcPr>
            <w:tcW w:w="2840" w:type="dxa"/>
            <w:vAlign w:val="bottom"/>
            <w:gridSpan w:val="12"/>
          </w:tcPr>
          <w:p>
            <w:pPr>
              <w:spacing w:after="0"/>
              <w:rPr>
                <w:sz w:val="17"/>
                <w:szCs w:val="17"/>
                <w:color w:val="auto"/>
              </w:rPr>
            </w:pPr>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196"/>
        </w:trPr>
        <w:tc>
          <w:tcPr>
            <w:tcW w:w="3800" w:type="dxa"/>
            <w:vAlign w:val="bottom"/>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2820" w:type="dxa"/>
            <w:vAlign w:val="bottom"/>
            <w:gridSpan w:val="11"/>
          </w:tcPr>
          <w:p>
            <w:pPr>
              <w:spacing w:after="0"/>
              <w:rPr>
                <w:sz w:val="17"/>
                <w:szCs w:val="17"/>
                <w:color w:val="auto"/>
              </w:rPr>
            </w:pPr>
          </w:p>
        </w:tc>
        <w:tc>
          <w:tcPr>
            <w:tcW w:w="726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6"/>
              </w:rPr>
              <w:t>ACCOMPANYING PROSPECTUS</w:t>
            </w:r>
          </w:p>
        </w:tc>
        <w:tc>
          <w:tcPr>
            <w:tcW w:w="0" w:type="dxa"/>
            <w:vAlign w:val="bottom"/>
          </w:tcPr>
          <w:p>
            <w:pPr>
              <w:spacing w:after="0"/>
              <w:rPr>
                <w:sz w:val="1"/>
                <w:szCs w:val="1"/>
                <w:color w:val="auto"/>
              </w:rPr>
            </w:pPr>
          </w:p>
        </w:tc>
      </w:tr>
      <w:tr>
        <w:trPr>
          <w:trHeight w:val="353"/>
        </w:trPr>
        <w:tc>
          <w:tcPr>
            <w:tcW w:w="3800" w:type="dxa"/>
            <w:vAlign w:val="bottom"/>
            <w:gridSpan w:val="16"/>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800" w:type="dxa"/>
            <w:vAlign w:val="bottom"/>
            <w:gridSpan w:val="16"/>
            <w:vMerge w:val="continue"/>
          </w:tcPr>
          <w:p>
            <w:pPr>
              <w:spacing w:after="0"/>
              <w:rPr>
                <w:sz w:val="14"/>
                <w:szCs w:val="14"/>
                <w:color w:val="auto"/>
              </w:rPr>
            </w:pPr>
          </w:p>
        </w:tc>
        <w:tc>
          <w:tcPr>
            <w:tcW w:w="7340" w:type="dxa"/>
            <w:vAlign w:val="bottom"/>
            <w:gridSpan w:val="2"/>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1000" w:type="dxa"/>
            <w:vAlign w:val="bottom"/>
            <w:gridSpan w:val="2"/>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Note Regarding Forward-Looking Statements</w:t>
              </w:r>
            </w:hyperlink>
          </w:p>
        </w:tc>
        <w:tc>
          <w:tcPr>
            <w:tcW w:w="560" w:type="dxa"/>
            <w:vAlign w:val="bottom"/>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2900" w:type="dxa"/>
            <w:vAlign w:val="bottom"/>
            <w:gridSpan w:val="13"/>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Securities We May Offer</w:t>
              </w:r>
            </w:hyperlink>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2040" w:type="dxa"/>
            <w:vAlign w:val="bottom"/>
            <w:gridSpan w:val="7"/>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Description of Common Stock</w:t>
              </w:r>
            </w:hyperlink>
          </w:p>
        </w:tc>
        <w:tc>
          <w:tcPr>
            <w:tcW w:w="1640" w:type="dxa"/>
            <w:vAlign w:val="bottom"/>
            <w:gridSpan w:val="5"/>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Warrants</w:t>
              </w:r>
            </w:hyperlink>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1860" w:type="dxa"/>
            <w:vAlign w:val="bottom"/>
            <w:gridSpan w:val="6"/>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2400" w:type="dxa"/>
            <w:vAlign w:val="bottom"/>
            <w:gridSpan w:val="9"/>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820" w:type="dxa"/>
            <w:vAlign w:val="bottom"/>
            <w:gridSpan w:val="11"/>
          </w:tcPr>
          <w:p>
            <w:pPr>
              <w:spacing w:after="0"/>
              <w:rPr>
                <w:sz w:val="17"/>
                <w:szCs w:val="17"/>
                <w:color w:val="auto"/>
              </w:rPr>
            </w:pPr>
          </w:p>
        </w:tc>
        <w:tc>
          <w:tcPr>
            <w:tcW w:w="7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You should rely only on the information contained in this prospectus supplement, the accompanying prospectus and the documents we incorporate by reference in this prospectus supplement and the accompanying prospectus. We have not authorized anyone to provide you with information different from that contained or incorporated by reference in this prospectus supplement and the accompanying prospectus. If anyone provides you with different or additional information, you should not rely on it. You should assume that the information contained in this prospectus supplement and the accompanying prospectus, as well as the information that we have filed with the Securities and Exchange Commission, or the SEC, and incorporated by reference herein and therein, is accurate only as of the date of the applicable document. This prospectus supplement and the accompanying prospectus do not constitute an offer or solicitation by anyone in any jurisdiction in which an offer or solicitation is not authorized or in which the person making an offer or solicitation is not qualified to do so, or to anyone to whom it is unlawful to make an offer or solicitation.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file reports, proxy statements and other information with the Securities and Exchange Commission, or the Commission, in accordance with the Securities Exchange Act of 1934, or the Exchange Act. You may read and copy our reports, proxy statements and other information filed by us at the Public Reference Room of the Commission at 100 F Street, N.E., Washington, D.C. 20549. Please call the Commission at 1-800-SEC-0330 for further information about the Public Reference Room. Our reports, proxy statements and other information filed with the Commission are available to the public over the Internet at the Commission’s website at www.sec.gov and on our Internet website at http://www.activepower.com. Information contained on our website does not constitute part of this prospectus supplement or the accompanying prospectus.</w:t>
      </w:r>
    </w:p>
    <w:p>
      <w:pPr>
        <w:spacing w:after="0" w:line="120" w:lineRule="exact"/>
        <w:rPr>
          <w:sz w:val="20"/>
          <w:szCs w:val="20"/>
          <w:color w:val="auto"/>
        </w:rPr>
      </w:pPr>
    </w:p>
    <w:p>
      <w:pPr>
        <w:ind w:right="160" w:firstLine="228"/>
        <w:spacing w:after="0" w:line="253" w:lineRule="auto"/>
        <w:rPr>
          <w:sz w:val="20"/>
          <w:szCs w:val="20"/>
          <w:color w:val="auto"/>
        </w:rPr>
      </w:pPr>
      <w:r>
        <w:rPr>
          <w:rFonts w:ascii="Arial" w:cs="Arial" w:eastAsia="Arial" w:hAnsi="Arial"/>
          <w:sz w:val="18"/>
          <w:szCs w:val="18"/>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supplement and the accompanying prospectus, and information that we file later with the Commission will automatically update and supersede this information. We incorporate by reference the documents listed below and any future filings we will make with the Commission under Section 13(a), 13(c), 14 or 15(d) of the Exchange Act, after the date of this prospectus supplement but before the end of any offering made under this prospectus supplement and the accompanying prospectus (other than current reports or portions thereof furnished under Item 2.02 or 7.01 of Form 8-K, unless such current reports or portions thereof specifically reference their contents as being filed):</w:t>
      </w:r>
    </w:p>
    <w:p>
      <w:pPr>
        <w:spacing w:after="0" w:line="66" w:lineRule="exact"/>
        <w:rPr>
          <w:sz w:val="20"/>
          <w:szCs w:val="20"/>
          <w:color w:val="auto"/>
        </w:rPr>
      </w:pPr>
    </w:p>
    <w:p>
      <w:pPr>
        <w:ind w:left="440" w:hanging="21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440" w:right="840" w:hanging="21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3, 2009, as amended by that certain Amendment No. 1 to Form 10-K filed with the SEC on October 28, 2009;</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2009, filed with the SEC on July 28, 2009;</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2009, filed with the SEC on October 27, 2009;</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17, 2009, May 14, 2009, June 1, 2009, July 6, 2009 and October 29, 2009.</w:t>
      </w:r>
    </w:p>
    <w:p>
      <w:pPr>
        <w:spacing w:after="0" w:line="171"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Copies of documents incorporated by reference, excluding exhibits except to the extent such exhibits are specifically incorporated by reference, are available from us without charge, upon oral or written request to:</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John K. Penver, Chief Financial Officer</w:t>
      </w:r>
    </w:p>
    <w:p>
      <w:pPr>
        <w:spacing w:after="0" w:line="9" w:lineRule="exact"/>
        <w:rPr>
          <w:sz w:val="20"/>
          <w:szCs w:val="20"/>
          <w:color w:val="auto"/>
        </w:rPr>
      </w:pPr>
    </w:p>
    <w:p>
      <w:pPr>
        <w:ind w:left="5580" w:right="5140" w:hanging="415"/>
        <w:spacing w:after="0" w:line="517" w:lineRule="auto"/>
        <w:tabs>
          <w:tab w:leader="none" w:pos="5582" w:val="left"/>
        </w:tabs>
        <w:numPr>
          <w:ilvl w:val="0"/>
          <w:numId w:val="3"/>
        </w:numPr>
        <w:rPr>
          <w:rFonts w:ascii="Arial" w:cs="Arial" w:eastAsia="Arial" w:hAnsi="Arial"/>
          <w:sz w:val="16"/>
          <w:szCs w:val="16"/>
          <w:color w:val="auto"/>
        </w:rPr>
      </w:pPr>
      <w:r>
        <w:rPr>
          <w:rFonts w:ascii="Arial" w:cs="Arial" w:eastAsia="Arial" w:hAnsi="Arial"/>
          <w:sz w:val="16"/>
          <w:szCs w:val="16"/>
          <w:color w:val="auto"/>
        </w:rPr>
        <w:t>836-6464 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This document is in two parts. The first part is the prospectus supplement, which describes the specific terms of the securities we are offering and also adds to and updates information contained in the accompanying prospectus and the documents incorporated by reference into the accompanying prospectus. The second part, the accompanying prospectus, including the documents incorporated by reference, provides more general information, some of which may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20"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We own the registered trademarks ACTIVE POWER, CLEANSOURCE and COOLAIR in the United States and abroad. The ACTIVE POWER logo is a trademark of Active Power. All other trademarks, service marks or trade names referred to in this prospectus supplement and the accompanying prospectus are the property of their respective owners.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40" w:firstLine="221"/>
        <w:spacing w:after="0" w:line="290" w:lineRule="auto"/>
        <w:rPr>
          <w:rFonts w:ascii="Arial" w:cs="Arial" w:eastAsia="Arial" w:hAnsi="Arial"/>
          <w:sz w:val="16"/>
          <w:szCs w:val="16"/>
          <w:i w:val="1"/>
          <w:iCs w:val="1"/>
          <w:color w:val="auto"/>
        </w:rPr>
      </w:pPr>
      <w:r>
        <w:rPr>
          <w:rFonts w:ascii="Arial" w:cs="Arial" w:eastAsia="Arial" w:hAnsi="Arial"/>
          <w:sz w:val="16"/>
          <w:szCs w:val="16"/>
          <w:i w:val="1"/>
          <w:iCs w:val="1"/>
          <w:color w:val="auto"/>
        </w:rPr>
        <w:t>This summary highlights information contained in this prospectus supplement, the accompanying prospectus or incorporated by reference. While we have included what we believe to be the most important information about the company and this offering, the following summary may not contain all the information that may be important to you. Before you decide to make an investment, you should read this entire prospectus supplement and accompanying prospectus carefully, including the risks of investing discussed under “</w:t>
      </w:r>
      <w:hyperlink w:anchor="page9">
        <w:r>
          <w:rPr>
            <w:rFonts w:ascii="Arial" w:cs="Arial" w:eastAsia="Arial" w:hAnsi="Arial"/>
            <w:sz w:val="16"/>
            <w:szCs w:val="16"/>
            <w:i w:val="1"/>
            <w:iCs w:val="1"/>
            <w:u w:val="single" w:color="auto"/>
            <w:color w:val="0000EE"/>
          </w:rPr>
          <w:t>Risk Factors</w:t>
        </w:r>
      </w:hyperlink>
      <w:r>
        <w:rPr>
          <w:rFonts w:ascii="Arial" w:cs="Arial" w:eastAsia="Arial" w:hAnsi="Arial"/>
          <w:sz w:val="16"/>
          <w:szCs w:val="16"/>
          <w:i w:val="1"/>
          <w:iCs w:val="1"/>
          <w:color w:val="auto"/>
        </w:rPr>
        <w:t>” beginning on page S-5 of this prospectus supplement, and the information to which we refer you and the information incorporated into this prospectus supplement by reference, for a complete understanding of our business, this offering and the investment you are contemplating. Unless the context otherwise requires, the terms “Active Power,” “we,” “us,” “the Company” and “our” refer to Active Power, Inc., a Delaware corporation.</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left="200" w:firstLine="221"/>
        <w:spacing w:after="0" w:line="289" w:lineRule="auto"/>
        <w:rPr>
          <w:sz w:val="20"/>
          <w:szCs w:val="20"/>
          <w:color w:val="auto"/>
        </w:rPr>
      </w:pPr>
      <w:r>
        <w:rPr>
          <w:rFonts w:ascii="Arial" w:cs="Arial" w:eastAsia="Arial" w:hAnsi="Arial"/>
          <w:sz w:val="16"/>
          <w:szCs w:val="16"/>
          <w:color w:val="auto"/>
        </w:rPr>
        <w:t>We are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September 30, 2009, we have shipped more than 2,400 flywheels in UPS system installations, delivering more than 600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left="200" w:firstLine="221"/>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150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123" w:lineRule="exact"/>
        <w:rPr>
          <w:sz w:val="20"/>
          <w:szCs w:val="20"/>
          <w:color w:val="auto"/>
        </w:rPr>
      </w:pPr>
    </w:p>
    <w:p>
      <w:pPr>
        <w:ind w:left="200" w:right="300" w:firstLine="221"/>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620" w:hanging="20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rising costs of energy worldwide;</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67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7670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hanging="20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2009 Fourth Quarter and Full Year Results</w:t>
      </w:r>
    </w:p>
    <w:p>
      <w:pPr>
        <w:spacing w:after="0" w:line="177" w:lineRule="exact"/>
        <w:rPr>
          <w:sz w:val="20"/>
          <w:szCs w:val="20"/>
          <w:color w:val="auto"/>
        </w:rPr>
      </w:pPr>
    </w:p>
    <w:p>
      <w:pPr>
        <w:ind w:left="200" w:right="340" w:firstLine="221"/>
        <w:spacing w:after="0" w:line="298" w:lineRule="auto"/>
        <w:rPr>
          <w:sz w:val="20"/>
          <w:szCs w:val="20"/>
          <w:color w:val="auto"/>
        </w:rPr>
      </w:pPr>
      <w:r>
        <w:rPr>
          <w:rFonts w:ascii="Arial" w:cs="Arial" w:eastAsia="Arial" w:hAnsi="Arial"/>
          <w:sz w:val="16"/>
          <w:szCs w:val="16"/>
          <w:color w:val="auto"/>
        </w:rPr>
        <w:t>On February 9, 2010, we announced our operating results for the fourth quarter and fiscal year ended December 31, 2009. Our revenue for the fourth quarter 2009 was $14.0 million, an increase of 64% compared to the third quarter 2009, and a decrease of 14% compared to the fourth quarter of 2008. Our net loss for the fourth quarter 2009 was $2.2 million, or 3 cents per share, compared to a net loss of $3.0 million, or 4 cents per share, for the third quarter 2009, and a net loss of $431,000, or 1 cent per share, for the fourth quarter 2008.</w:t>
      </w:r>
    </w:p>
    <w:p>
      <w:pPr>
        <w:spacing w:after="0" w:line="113" w:lineRule="exact"/>
        <w:rPr>
          <w:sz w:val="20"/>
          <w:szCs w:val="20"/>
          <w:color w:val="auto"/>
        </w:rPr>
      </w:pPr>
    </w:p>
    <w:p>
      <w:pPr>
        <w:ind w:left="200" w:right="320" w:firstLine="221"/>
        <w:spacing w:after="0" w:line="268" w:lineRule="auto"/>
        <w:rPr>
          <w:sz w:val="20"/>
          <w:szCs w:val="20"/>
          <w:color w:val="auto"/>
        </w:rPr>
      </w:pPr>
      <w:r>
        <w:rPr>
          <w:rFonts w:ascii="Arial" w:cs="Arial" w:eastAsia="Arial" w:hAnsi="Arial"/>
          <w:sz w:val="18"/>
          <w:szCs w:val="18"/>
          <w:color w:val="auto"/>
        </w:rPr>
        <w:t>Our revenue for 2009 was $40.3 million, compared to $43.0 million in 2008. Our net loss for 2009 was $11.0 million, or 17 cents per share, compared to $13.4 million, or 22 cents per share, in 2008.</w:t>
      </w:r>
    </w:p>
    <w:p>
      <w:pPr>
        <w:spacing w:after="0" w:line="132" w:lineRule="exact"/>
        <w:rPr>
          <w:sz w:val="20"/>
          <w:szCs w:val="20"/>
          <w:color w:val="auto"/>
        </w:rPr>
      </w:pPr>
    </w:p>
    <w:p>
      <w:pPr>
        <w:ind w:left="200" w:right="200" w:firstLine="221"/>
        <w:spacing w:after="0" w:line="332" w:lineRule="auto"/>
        <w:rPr>
          <w:sz w:val="20"/>
          <w:szCs w:val="20"/>
          <w:color w:val="auto"/>
        </w:rPr>
      </w:pPr>
      <w:r>
        <w:rPr>
          <w:rFonts w:ascii="Arial" w:cs="Arial" w:eastAsia="Arial" w:hAnsi="Arial"/>
          <w:sz w:val="16"/>
          <w:szCs w:val="16"/>
          <w:color w:val="auto"/>
        </w:rPr>
        <w:t>Cash and investments decreased by $0.5 million during the fourth quarter 2009 to $7.5 million at December 31, 2009. This compares to a decrease in cash and investments balance of $3.7 million during the third quarter of 2009, and a decrease of $0.6 million during the fourth quarter of 2008.</w:t>
      </w:r>
    </w:p>
    <w:p>
      <w:pPr>
        <w:spacing w:after="0" w:line="85" w:lineRule="exact"/>
        <w:rPr>
          <w:sz w:val="20"/>
          <w:szCs w:val="20"/>
          <w:color w:val="auto"/>
        </w:rPr>
      </w:pPr>
    </w:p>
    <w:p>
      <w:pPr>
        <w:ind w:left="200" w:right="500" w:firstLine="221"/>
        <w:spacing w:after="0" w:line="268" w:lineRule="auto"/>
        <w:rPr>
          <w:sz w:val="20"/>
          <w:szCs w:val="20"/>
          <w:color w:val="auto"/>
        </w:rPr>
      </w:pPr>
      <w:r>
        <w:rPr>
          <w:rFonts w:ascii="Arial" w:cs="Arial" w:eastAsia="Arial" w:hAnsi="Arial"/>
          <w:sz w:val="18"/>
          <w:szCs w:val="18"/>
          <w:color w:val="auto"/>
        </w:rPr>
        <w:t>Our total net current assets as of December 31, 2009 were $11.7 million, compared to $12.9 million as of September 30, 2009. Our total stockholders’ equity as of December 31, 2009 was $14.5 million, compared to $15.9 million as of September 30, 2009.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77" w:lineRule="exact"/>
        <w:rPr>
          <w:sz w:val="20"/>
          <w:szCs w:val="20"/>
          <w:color w:val="auto"/>
        </w:rPr>
      </w:pPr>
    </w:p>
    <w:p>
      <w:pPr>
        <w:ind w:left="200" w:right="320" w:firstLine="221"/>
        <w:spacing w:after="0" w:line="294" w:lineRule="auto"/>
        <w:rPr>
          <w:sz w:val="20"/>
          <w:szCs w:val="20"/>
          <w:color w:val="auto"/>
        </w:rPr>
      </w:pPr>
      <w:r>
        <w:rPr>
          <w:rFonts w:ascii="Arial" w:cs="Arial" w:eastAsia="Arial" w:hAnsi="Arial"/>
          <w:sz w:val="16"/>
          <w:szCs w:val="16"/>
          <w:color w:val="auto"/>
        </w:rPr>
        <w:t>We were founded as a Texas corporation in 1992 and reincorporated in Delaware in 2000 prior to our initial public offering. Our principal executive offices are located at 2128 W. Braker Lane, BK12, Austin, Texas 78758 and our telephone number at that address is (512) 836-6464. Our website address is www.activepower.com and we make our periodic and current reports that are filed with the Securities and Exchange Commission available, free of charge, on our website as soon as reasonably practicable after such material is electronically filed with, or furnished to, the Securities and Exchange Commission. Information contained on our website does not constitute part of this prospectus supplement or the accompanying prospectus.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trades on The Nasdaq Global Market under the symbol “ACPW.”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19"/>
                <w:szCs w:val="19"/>
                <w:color w:val="auto"/>
              </w:rPr>
            </w:pPr>
          </w:p>
        </w:tc>
        <w:tc>
          <w:tcPr>
            <w:tcW w:w="7320" w:type="dxa"/>
            <w:vAlign w:val="bottom"/>
          </w:tcPr>
          <w:p>
            <w:pPr>
              <w:ind w:left="1100"/>
              <w:spacing w:after="0"/>
              <w:rPr>
                <w:sz w:val="20"/>
                <w:szCs w:val="20"/>
                <w:color w:val="auto"/>
              </w:rPr>
            </w:pPr>
            <w:r>
              <w:rPr>
                <w:rFonts w:ascii="Arial" w:cs="Arial" w:eastAsia="Arial" w:hAnsi="Arial"/>
                <w:sz w:val="18"/>
                <w:szCs w:val="18"/>
                <w:b w:val="1"/>
                <w:bCs w:val="1"/>
                <w:color w:val="auto"/>
              </w:rPr>
              <w:t>The Offering</w:t>
            </w:r>
          </w:p>
        </w:tc>
      </w:tr>
      <w:tr>
        <w:trPr>
          <w:trHeight w:val="486"/>
        </w:trPr>
        <w:tc>
          <w:tcPr>
            <w:tcW w:w="4140" w:type="dxa"/>
            <w:vAlign w:val="bottom"/>
          </w:tcPr>
          <w:p>
            <w:pPr>
              <w:ind w:left="200"/>
              <w:spacing w:after="0"/>
              <w:rPr>
                <w:sz w:val="20"/>
                <w:szCs w:val="20"/>
                <w:color w:val="auto"/>
              </w:rPr>
            </w:pPr>
            <w:r>
              <w:rPr>
                <w:rFonts w:ascii="Arial" w:cs="Arial" w:eastAsia="Arial" w:hAnsi="Arial"/>
                <w:sz w:val="18"/>
                <w:szCs w:val="18"/>
                <w:color w:val="auto"/>
              </w:rPr>
              <w:t>Shares of common stock we are offering</w:t>
            </w:r>
          </w:p>
        </w:tc>
        <w:tc>
          <w:tcPr>
            <w:tcW w:w="7320" w:type="dxa"/>
            <w:vAlign w:val="bottom"/>
          </w:tcPr>
          <w:p>
            <w:pPr>
              <w:ind w:left="2860"/>
              <w:spacing w:after="0"/>
              <w:rPr>
                <w:sz w:val="20"/>
                <w:szCs w:val="20"/>
                <w:color w:val="auto"/>
              </w:rPr>
            </w:pPr>
            <w:r>
              <w:rPr>
                <w:rFonts w:ascii="Arial" w:cs="Arial" w:eastAsia="Arial" w:hAnsi="Arial"/>
                <w:sz w:val="18"/>
                <w:szCs w:val="18"/>
                <w:color w:val="auto"/>
              </w:rPr>
              <w:t>shares</w:t>
            </w:r>
          </w:p>
        </w:tc>
      </w:tr>
      <w:tr>
        <w:trPr>
          <w:trHeight w:val="284"/>
        </w:trPr>
        <w:tc>
          <w:tcPr>
            <w:tcW w:w="11460" w:type="dxa"/>
            <w:vAlign w:val="bottom"/>
            <w:gridSpan w:val="2"/>
          </w:tcPr>
          <w:p>
            <w:pPr>
              <w:ind w:left="200"/>
              <w:spacing w:after="0"/>
              <w:rPr>
                <w:sz w:val="20"/>
                <w:szCs w:val="20"/>
                <w:color w:val="auto"/>
              </w:rPr>
            </w:pPr>
            <w:r>
              <w:rPr>
                <w:rFonts w:ascii="Arial" w:cs="Arial" w:eastAsia="Arial" w:hAnsi="Arial"/>
                <w:sz w:val="18"/>
                <w:szCs w:val="18"/>
                <w:color w:val="auto"/>
              </w:rPr>
              <w:t>Shares of common stock to be outstanding immediately after this offering</w:t>
            </w:r>
          </w:p>
        </w:tc>
      </w:tr>
      <w:tr>
        <w:trPr>
          <w:trHeight w:val="392"/>
        </w:trPr>
        <w:tc>
          <w:tcPr>
            <w:tcW w:w="4140" w:type="dxa"/>
            <w:vAlign w:val="bottom"/>
          </w:tcPr>
          <w:p>
            <w:pPr>
              <w:spacing w:after="0"/>
              <w:rPr>
                <w:sz w:val="24"/>
                <w:szCs w:val="24"/>
                <w:color w:val="auto"/>
              </w:rPr>
            </w:pPr>
          </w:p>
        </w:tc>
        <w:tc>
          <w:tcPr>
            <w:tcW w:w="7320" w:type="dxa"/>
            <w:vAlign w:val="bottom"/>
          </w:tcPr>
          <w:p>
            <w:pPr>
              <w:ind w:left="2860"/>
              <w:spacing w:after="0"/>
              <w:rPr>
                <w:sz w:val="20"/>
                <w:szCs w:val="20"/>
                <w:color w:val="auto"/>
              </w:rPr>
            </w:pPr>
            <w:r>
              <w:rPr>
                <w:rFonts w:ascii="Arial" w:cs="Arial" w:eastAsia="Arial" w:hAnsi="Arial"/>
                <w:sz w:val="18"/>
                <w:szCs w:val="18"/>
                <w:color w:val="auto"/>
              </w:rPr>
              <w:t>shares</w:t>
            </w:r>
          </w:p>
        </w:tc>
      </w:tr>
      <w:tr>
        <w:trPr>
          <w:trHeight w:val="277"/>
        </w:trPr>
        <w:tc>
          <w:tcPr>
            <w:tcW w:w="414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320" w:type="dxa"/>
            <w:vAlign w:val="bottom"/>
          </w:tcPr>
          <w:p>
            <w:pPr>
              <w:ind w:left="1940"/>
              <w:spacing w:after="0"/>
              <w:rPr>
                <w:sz w:val="20"/>
                <w:szCs w:val="20"/>
                <w:color w:val="auto"/>
              </w:rPr>
            </w:pPr>
            <w:r>
              <w:rPr>
                <w:rFonts w:ascii="Arial" w:cs="Arial" w:eastAsia="Arial" w:hAnsi="Arial"/>
                <w:sz w:val="18"/>
                <w:szCs w:val="18"/>
                <w:color w:val="auto"/>
                <w:w w:val="97"/>
              </w:rPr>
              <w:t>We currently intend to use the net proceeds from this offering to fund</w:t>
            </w:r>
          </w:p>
        </w:tc>
      </w:tr>
      <w:tr>
        <w:trPr>
          <w:trHeight w:val="216"/>
        </w:trPr>
        <w:tc>
          <w:tcPr>
            <w:tcW w:w="4140" w:type="dxa"/>
            <w:vAlign w:val="bottom"/>
          </w:tcPr>
          <w:p>
            <w:pPr>
              <w:spacing w:after="0"/>
              <w:rPr>
                <w:sz w:val="18"/>
                <w:szCs w:val="18"/>
                <w:color w:val="auto"/>
              </w:rPr>
            </w:pPr>
          </w:p>
        </w:tc>
        <w:tc>
          <w:tcPr>
            <w:tcW w:w="7320" w:type="dxa"/>
            <w:vAlign w:val="bottom"/>
          </w:tcPr>
          <w:p>
            <w:pPr>
              <w:ind w:left="1940"/>
              <w:spacing w:after="0"/>
              <w:rPr>
                <w:sz w:val="20"/>
                <w:szCs w:val="20"/>
                <w:color w:val="auto"/>
              </w:rPr>
            </w:pPr>
            <w:r>
              <w:rPr>
                <w:rFonts w:ascii="Arial" w:cs="Arial" w:eastAsia="Arial" w:hAnsi="Arial"/>
                <w:sz w:val="18"/>
                <w:szCs w:val="18"/>
                <w:color w:val="auto"/>
                <w:w w:val="97"/>
              </w:rPr>
              <w:t>working capital requirements and general corporate purposes and as</w:t>
            </w:r>
          </w:p>
        </w:tc>
      </w:tr>
      <w:tr>
        <w:trPr>
          <w:trHeight w:val="216"/>
        </w:trPr>
        <w:tc>
          <w:tcPr>
            <w:tcW w:w="4140" w:type="dxa"/>
            <w:vAlign w:val="bottom"/>
          </w:tcPr>
          <w:p>
            <w:pPr>
              <w:spacing w:after="0"/>
              <w:rPr>
                <w:sz w:val="18"/>
                <w:szCs w:val="18"/>
                <w:color w:val="auto"/>
              </w:rPr>
            </w:pPr>
          </w:p>
        </w:tc>
        <w:tc>
          <w:tcPr>
            <w:tcW w:w="7320" w:type="dxa"/>
            <w:vAlign w:val="bottom"/>
          </w:tcPr>
          <w:p>
            <w:pPr>
              <w:ind w:left="1940"/>
              <w:spacing w:after="0"/>
              <w:rPr>
                <w:sz w:val="20"/>
                <w:szCs w:val="20"/>
                <w:color w:val="auto"/>
              </w:rPr>
            </w:pPr>
            <w:r>
              <w:rPr>
                <w:rFonts w:ascii="Arial" w:cs="Arial" w:eastAsia="Arial" w:hAnsi="Arial"/>
                <w:sz w:val="18"/>
                <w:szCs w:val="18"/>
                <w:color w:val="auto"/>
                <w:w w:val="93"/>
              </w:rPr>
              <w:t>further described in this prospectus supplement under the heading “Use</w:t>
            </w:r>
          </w:p>
        </w:tc>
      </w:tr>
      <w:tr>
        <w:trPr>
          <w:trHeight w:val="222"/>
        </w:trPr>
        <w:tc>
          <w:tcPr>
            <w:tcW w:w="4140" w:type="dxa"/>
            <w:vAlign w:val="bottom"/>
          </w:tcPr>
          <w:p>
            <w:pPr>
              <w:spacing w:after="0"/>
              <w:rPr>
                <w:sz w:val="19"/>
                <w:szCs w:val="19"/>
                <w:color w:val="auto"/>
              </w:rPr>
            </w:pPr>
          </w:p>
        </w:tc>
        <w:tc>
          <w:tcPr>
            <w:tcW w:w="7320" w:type="dxa"/>
            <w:vAlign w:val="bottom"/>
          </w:tcPr>
          <w:p>
            <w:pPr>
              <w:ind w:left="1940"/>
              <w:spacing w:after="0"/>
              <w:rPr>
                <w:sz w:val="20"/>
                <w:szCs w:val="20"/>
                <w:color w:val="auto"/>
              </w:rPr>
            </w:pPr>
            <w:r>
              <w:rPr>
                <w:rFonts w:ascii="Arial" w:cs="Arial" w:eastAsia="Arial" w:hAnsi="Arial"/>
                <w:sz w:val="18"/>
                <w:szCs w:val="18"/>
                <w:color w:val="auto"/>
              </w:rPr>
              <w:t>of Proceeds.”</w:t>
            </w:r>
          </w:p>
        </w:tc>
      </w:tr>
      <w:tr>
        <w:trPr>
          <w:trHeight w:val="161"/>
        </w:trPr>
        <w:tc>
          <w:tcPr>
            <w:tcW w:w="4140" w:type="dxa"/>
            <w:vAlign w:val="bottom"/>
            <w:tcBorders>
              <w:bottom w:val="single" w:sz="8" w:color="auto"/>
            </w:tcBorders>
          </w:tcPr>
          <w:p>
            <w:pPr>
              <w:spacing w:after="0"/>
              <w:rPr>
                <w:sz w:val="13"/>
                <w:szCs w:val="13"/>
                <w:color w:val="auto"/>
              </w:rPr>
            </w:pPr>
          </w:p>
        </w:tc>
        <w:tc>
          <w:tcPr>
            <w:tcW w:w="7320" w:type="dxa"/>
            <w:vAlign w:val="bottom"/>
            <w:tcBorders>
              <w:bottom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327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23279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6920" w:type="dxa"/>
            <w:vAlign w:val="bottom"/>
            <w:gridSpan w:val="3"/>
          </w:tcPr>
          <w:p>
            <w:pPr>
              <w:ind w:left="1860"/>
              <w:spacing w:after="0"/>
              <w:rPr>
                <w:rFonts w:ascii="Arial" w:cs="Arial" w:eastAsia="Arial" w:hAnsi="Arial"/>
                <w:sz w:val="18"/>
                <w:szCs w:val="18"/>
                <w:color w:val="auto"/>
                <w:w w:val="98"/>
              </w:rPr>
            </w:pPr>
            <w:r>
              <w:rPr>
                <w:rFonts w:ascii="Arial" w:cs="Arial" w:eastAsia="Arial" w:hAnsi="Arial"/>
                <w:sz w:val="18"/>
                <w:szCs w:val="18"/>
                <w:color w:val="auto"/>
                <w:w w:val="98"/>
              </w:rPr>
              <w:t>See the “</w:t>
            </w:r>
            <w:hyperlink w:anchor="page9">
              <w:r>
                <w:rPr>
                  <w:rFonts w:ascii="Arial" w:cs="Arial" w:eastAsia="Arial" w:hAnsi="Arial"/>
                  <w:sz w:val="18"/>
                  <w:szCs w:val="18"/>
                  <w:color w:val="0000EE"/>
                  <w:w w:val="98"/>
                </w:rPr>
                <w:t>Risk Factors</w:t>
              </w:r>
            </w:hyperlink>
            <w:r>
              <w:rPr>
                <w:rFonts w:ascii="Arial" w:cs="Arial" w:eastAsia="Arial" w:hAnsi="Arial"/>
                <w:sz w:val="18"/>
                <w:szCs w:val="18"/>
                <w:color w:val="auto"/>
                <w:w w:val="98"/>
              </w:rPr>
              <w:t>” beginning on page S-5 of this prospectus</w:t>
            </w:r>
          </w:p>
        </w:tc>
      </w:tr>
      <w:tr>
        <w:trPr>
          <w:trHeight w:val="20"/>
        </w:trPr>
        <w:tc>
          <w:tcPr>
            <w:tcW w:w="4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28"/>
        </w:trPr>
        <w:tc>
          <w:tcPr>
            <w:tcW w:w="4020" w:type="dxa"/>
            <w:vAlign w:val="bottom"/>
          </w:tcPr>
          <w:p>
            <w:pPr>
              <w:spacing w:after="0"/>
              <w:rPr>
                <w:sz w:val="19"/>
                <w:szCs w:val="19"/>
                <w:color w:val="auto"/>
              </w:rPr>
            </w:pP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w w:val="86"/>
              </w:rPr>
              <w:t>supplement and the accompanying prospectus, as well as the documents</w:t>
            </w:r>
          </w:p>
        </w:tc>
      </w:tr>
      <w:tr>
        <w:trPr>
          <w:trHeight w:val="216"/>
        </w:trPr>
        <w:tc>
          <w:tcPr>
            <w:tcW w:w="4020" w:type="dxa"/>
            <w:vAlign w:val="bottom"/>
          </w:tcPr>
          <w:p>
            <w:pPr>
              <w:spacing w:after="0"/>
              <w:rPr>
                <w:sz w:val="18"/>
                <w:szCs w:val="18"/>
                <w:color w:val="auto"/>
              </w:rPr>
            </w:pP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rPr>
              <w:t>we file with the Securities and Exchange Commission that are</w:t>
            </w:r>
          </w:p>
        </w:tc>
      </w:tr>
      <w:tr>
        <w:trPr>
          <w:trHeight w:val="216"/>
        </w:trPr>
        <w:tc>
          <w:tcPr>
            <w:tcW w:w="4020" w:type="dxa"/>
            <w:vAlign w:val="bottom"/>
          </w:tcPr>
          <w:p>
            <w:pPr>
              <w:spacing w:after="0"/>
              <w:rPr>
                <w:sz w:val="18"/>
                <w:szCs w:val="18"/>
                <w:color w:val="auto"/>
              </w:rPr>
            </w:pP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w w:val="88"/>
              </w:rPr>
              <w:t>incorporated by reference in this prospectus, for a discussion of the risk</w:t>
            </w:r>
          </w:p>
        </w:tc>
      </w:tr>
      <w:tr>
        <w:trPr>
          <w:trHeight w:val="222"/>
        </w:trPr>
        <w:tc>
          <w:tcPr>
            <w:tcW w:w="4020" w:type="dxa"/>
            <w:vAlign w:val="bottom"/>
          </w:tcPr>
          <w:p>
            <w:pPr>
              <w:spacing w:after="0"/>
              <w:rPr>
                <w:sz w:val="19"/>
                <w:szCs w:val="19"/>
                <w:color w:val="auto"/>
              </w:rPr>
            </w:pP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w w:val="93"/>
              </w:rPr>
              <w:t>factors to be considered before deciding to purchase our securities.</w:t>
            </w:r>
          </w:p>
        </w:tc>
      </w:tr>
      <w:tr>
        <w:trPr>
          <w:trHeight w:val="284"/>
        </w:trPr>
        <w:tc>
          <w:tcPr>
            <w:tcW w:w="402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6920" w:type="dxa"/>
            <w:vAlign w:val="bottom"/>
            <w:gridSpan w:val="3"/>
          </w:tcPr>
          <w:p>
            <w:pPr>
              <w:ind w:left="1860"/>
              <w:spacing w:after="0"/>
              <w:rPr>
                <w:sz w:val="20"/>
                <w:szCs w:val="20"/>
                <w:color w:val="auto"/>
              </w:rPr>
            </w:pPr>
            <w:r>
              <w:rPr>
                <w:rFonts w:ascii="Arial" w:cs="Arial" w:eastAsia="Arial" w:hAnsi="Arial"/>
                <w:sz w:val="18"/>
                <w:szCs w:val="18"/>
                <w:color w:val="auto"/>
              </w:rPr>
              <w:t>ACPW</w:t>
            </w:r>
          </w:p>
        </w:tc>
      </w:tr>
    </w:tbl>
    <w:p>
      <w:pPr>
        <w:spacing w:after="0" w:line="156" w:lineRule="exact"/>
        <w:rPr>
          <w:sz w:val="20"/>
          <w:szCs w:val="20"/>
          <w:color w:val="auto"/>
        </w:rPr>
      </w:pPr>
    </w:p>
    <w:p>
      <w:pPr>
        <w:ind w:left="200" w:firstLine="221"/>
        <w:spacing w:after="0" w:line="268" w:lineRule="auto"/>
        <w:rPr>
          <w:sz w:val="20"/>
          <w:szCs w:val="20"/>
          <w:color w:val="auto"/>
        </w:rPr>
      </w:pPr>
      <w:r>
        <w:rPr>
          <w:rFonts w:ascii="Arial" w:cs="Arial" w:eastAsia="Arial" w:hAnsi="Arial"/>
          <w:sz w:val="18"/>
          <w:szCs w:val="18"/>
          <w:color w:val="auto"/>
        </w:rPr>
        <w:t>The number of shares of common stock outstanding immediately after this offering in the table above is based on 66,478,623 shares of our common stock outstanding as of September 30, 2009 and excludes the following, each stated as of September 30, 2009:</w:t>
      </w:r>
    </w:p>
    <w:p>
      <w:pPr>
        <w:spacing w:after="0" w:line="51" w:lineRule="exact"/>
        <w:rPr>
          <w:sz w:val="20"/>
          <w:szCs w:val="20"/>
          <w:color w:val="auto"/>
        </w:rPr>
      </w:pPr>
    </w:p>
    <w:p>
      <w:pPr>
        <w:ind w:left="620" w:hanging="207"/>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5,765,637 shares of our common stock issuable upon the exercise of stock options at a weighted average exercise price of $1.96 per share;</w:t>
      </w:r>
    </w:p>
    <w:p>
      <w:pPr>
        <w:spacing w:after="0" w:line="113" w:lineRule="exact"/>
        <w:rPr>
          <w:rFonts w:ascii="Arial" w:cs="Arial" w:eastAsia="Arial" w:hAnsi="Arial"/>
          <w:sz w:val="16"/>
          <w:szCs w:val="16"/>
          <w:color w:val="auto"/>
        </w:rPr>
      </w:pPr>
    </w:p>
    <w:p>
      <w:pPr>
        <w:ind w:left="620" w:hanging="20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3,935,272 shares of common stock reserved for future issuance under our stock plans; and</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123,013 shares of restricted stock issuable subject to vesting requirements.</w:t>
      </w:r>
    </w:p>
    <w:p>
      <w:pPr>
        <w:spacing w:after="0" w:line="171" w:lineRule="exact"/>
        <w:rPr>
          <w:sz w:val="20"/>
          <w:szCs w:val="20"/>
          <w:color w:val="auto"/>
        </w:rPr>
      </w:pPr>
    </w:p>
    <w:p>
      <w:pPr>
        <w:ind w:left="420"/>
        <w:spacing w:after="0"/>
        <w:tabs>
          <w:tab w:leader="none" w:pos="8760" w:val="left"/>
        </w:tabs>
        <w:rPr>
          <w:sz w:val="20"/>
          <w:szCs w:val="20"/>
          <w:color w:val="auto"/>
        </w:rPr>
      </w:pPr>
      <w:r>
        <w:rPr>
          <w:rFonts w:ascii="Arial" w:cs="Arial" w:eastAsia="Arial" w:hAnsi="Arial"/>
          <w:sz w:val="16"/>
          <w:szCs w:val="16"/>
          <w:color w:val="auto"/>
        </w:rPr>
        <w:t>Unless otherwise stated, all information contained in this prospectus supplement reflects a public offering price of $</w:t>
      </w:r>
      <w:r>
        <w:rPr>
          <w:sz w:val="20"/>
          <w:szCs w:val="20"/>
          <w:color w:val="auto"/>
        </w:rPr>
        <w:tab/>
      </w:r>
      <w:r>
        <w:rPr>
          <w:rFonts w:ascii="Arial" w:cs="Arial" w:eastAsia="Arial" w:hAnsi="Arial"/>
          <w:sz w:val="15"/>
          <w:szCs w:val="15"/>
          <w:color w:val="auto"/>
        </w:rPr>
        <w:t>per share.</w:t>
      </w: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7" w:lineRule="exact"/>
        <w:rPr>
          <w:sz w:val="20"/>
          <w:szCs w:val="20"/>
          <w:color w:val="auto"/>
        </w:rPr>
      </w:pPr>
    </w:p>
    <w:p>
      <w:pPr>
        <w:ind w:firstLine="228"/>
        <w:spacing w:after="0" w:line="285"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“Risk Factors,” in our most recent Annual Report on Form 10-K and Quarterly Report on Form 10-Q and in our future filings made with the SEC. Readers are cautioned not to place undue reliance on any forward-looking statements contained herein, which reflect management’s opinions only as of the date hereof. Except as required by law, Active Power undertakes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supplement and the accompanying prospectus.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i w:val="1"/>
          <w:iCs w:val="1"/>
          <w:color w:val="auto"/>
        </w:rPr>
        <w:t>An investment in our securities involves a high degree of risk. You should carefully consider the following risk factors related to the securities offered in this prospectus supplement and to our business and operations. You should also carefully consider the other information contained or incorporated by reference in this prospectus supplement and the accompanying prospectus before you decide to purchase our securities. Some of these factors have affected our financial condition and operating results in the past or are currently affecting us. All of these factors could affect our future financial condition and operating results. The risks and uncertainties described below are not the only risks and uncertainties we face. Additional risks and uncertainties not presently known to us or that we currently deem immaterial also may impair our business operations. If any of the following risks actually occur, our business, results of operations and financial condition could be harmed, the trading price of our securities could decline and you may lose all or part of your investment. The risks set forth below replace and supersede in their entirety the risks set forth beginning on page 5 of the accompanying prospectus. The risks discussed below also include forward-looking statements and our actual results may differ substantially from those discussed in these forward-looking statements.</w:t>
      </w:r>
    </w:p>
    <w:p>
      <w:pPr>
        <w:spacing w:after="0" w:line="19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year.</w:t>
      </w:r>
    </w:p>
    <w:p>
      <w:pPr>
        <w:spacing w:after="0" w:line="96"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year. As of December 31, 2008 and September 30, 2009, we had an accumulated deficit of $238.8 million and $247.6 million, respectively. To date, we have funded our operations principally through the public and private sale of our stock, from product and service revenue and from $10.0 million in development funding from Caterpillar. We will need to generate significant additional revenue in order to achieve profitability, and we cannot assure you that we will ever realize such revenue levels or achieve profitability. We also expect to incur product development, sales and marketing and administrative expenses in excess of our product revenue after costs, and, as a result, we expect to continue to incur losses for at least the next year.</w:t>
      </w:r>
    </w:p>
    <w:p>
      <w:pPr>
        <w:spacing w:after="0" w:line="19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third quarter of 2009, our five largest customers contributed 69%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9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Our business may be affected by general economic conditions and uncertainty that may cause customers to defer or cancel sales commitments previously made to us.</w:t>
      </w:r>
    </w:p>
    <w:p>
      <w:pPr>
        <w:spacing w:after="0" w:line="45"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Recent economic difficulties in the Unites States credit markets and certain international markets has led to an economic recession in some or all of the markets in which we operate. A recession or even the risk of a potential recession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ownership supports customers using and purchasing our equipment, and our efforts to broaden the number of different markets in which we sell will help mitigate economic risk from any one country, any customer delays or cancellation in sales orders could materially affect our level of revenues and operating results. Should our financial results not meet the expectations of public market analysts or investors, the market price of our stock would most likely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orders from our customers and the possibility that customers may change their order requirements with little or no notice to us;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5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42%, 45% and 39% in 2006, 2007 and 2008, respectively, and 43% and 35% for the nine-month periods ended September 30, 2008 and 2009, respectively. Our international operations are subject to a number of risks, including:</w:t>
      </w:r>
    </w:p>
    <w:p>
      <w:pPr>
        <w:spacing w:after="0" w:line="59" w:lineRule="exact"/>
        <w:rPr>
          <w:sz w:val="20"/>
          <w:szCs w:val="20"/>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including longer collection periods;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80" w:firstLine="228"/>
        <w:spacing w:after="0" w:line="314" w:lineRule="auto"/>
        <w:rPr>
          <w:sz w:val="20"/>
          <w:szCs w:val="20"/>
          <w:color w:val="auto"/>
        </w:rPr>
      </w:pPr>
      <w:r>
        <w:rPr>
          <w:rFonts w:ascii="Arial" w:cs="Arial" w:eastAsia="Arial" w:hAnsi="Arial"/>
          <w:sz w:val="15"/>
          <w:szCs w:val="15"/>
          <w:color w:val="auto"/>
        </w:rPr>
        <w:t>To date, the majority of our sales to international customers and purchases of components from international suppliers have been denominated in U.S. dollars. We have benefited from the decline in value of the U.S. dollar relative to foreign currencies over the last several years which has made our products more price competitive in foreign markets.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However, we may engage in hedging activities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particularly our 250-900 kVA product family.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or feature enhancements in a timely manner. Specifically, our ability to capture significant market share depends on our ability to develop and market extensions to our existing UPS product line at higher and lower power range offerings and as containerized solutions.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or that could provide additional opportunities for our existing sales channels, such as the recent relationships that we have developed with Sun Microsystems, Hewlett Packard and Verari Systems. Our inability to successfully execute this strategy, and to integrate and manage our existing OEM channel partners and our new distributors and manufacturer’s representatives, could impede our future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93"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Caterpillar and its dealer network is our primary OEM customer and our largest single customer for our flywheel-based products. Caterpillar and its dealer network accounted for 35%, 31% and 40% of our revenue during 2006, 2007 and 2008, respectively, and 44% and 31% of our revenue during the nine-month periods ended September 30, 2008 and 2009,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sufficient backlog.</w:t>
      </w:r>
    </w:p>
    <w:p>
      <w:pPr>
        <w:spacing w:after="0" w:line="96"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is not sufficient to provide all of the next quarter’s revenue, revenue in any quarter is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meaningful backlog.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Our business has, on occasion, experienced seasonal customer buying patterns. In recent years, the UPS industry has generally experienced relatively weaker demand in the first calendar quarter of the year and we have experienced the same behavior.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and other suppliers.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16"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and greater service infrastructure than we do.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decrease our market share. These and other competitive pressures could prevent us from competing successfully against current or future competitors and could materially harm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by others that we infringe on their proprietary technology.</w:t>
      </w:r>
    </w:p>
    <w:p>
      <w:pPr>
        <w:spacing w:after="0" w:line="96"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440" w:right="340" w:hanging="216"/>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71"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Our involvement in any such litigation will cause us to incur unexpected litigation costs, require modifications to or limit our ability to sell our products, and adversely impact our business and reputation.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increase in sales of our PowerHouse product may materially increase the amount of liquidity required to fund the Company’s operations.</w:t>
      </w:r>
    </w:p>
    <w:p>
      <w:pPr>
        <w:spacing w:after="0" w:line="119"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A significant increase in sales of our PowerHouse product may materially increase the amount of liquidity required to fund out operations. The amount of time between the receipt of payment from our customers and our expenditures for raw materials, manufacturer and shipment of products (the sales cycle) for sales of our standard UPS product can be as short as 45 days, and is typically 60 days. However, this cash cycle on a PowerHouse sale can be as much as 210 days, depending on customer payment terms. We intend to mitigate the financial impact of this longer cash cycle by requiring customer deposits and periodic payments where possible from our customers. This is not always commercially feasible, and in order to increase our PowerHouse sales, we may be required to make larger investments in inventory and receivables to fund these sales opportunities. These larger investments may require us to obtain additional sources of working capital, debt or equity financing in order to fund this business. If we are unsuccessful at obtaining additional sources of working capital, we may be required to curtail our level of PowerHouse sales or we may lose potential customers, both of which may cause our financial results to not meet the expectations of public market analysts or investors and adversely impact our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we are unable to raise sufficient capital in this offering to cover our expected working capital requirements, there could be substantial doubt about our ability to continue as a going concern.</w:t>
      </w:r>
    </w:p>
    <w:p>
      <w:pPr>
        <w:spacing w:after="0" w:line="45"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have had, and continue to have, an ongoing need to raise additional capital from outside sources to fund our operations. If we are unable to raise sufficient capital in this offering to cover our expected working capital requirements, we would need to secure financing through other methods. We may not be able to secure timely additional financing on favorable terms, or at all. If we are unable to secure financing through other methods, we would be required to significantly reduce our operating costs and would likely not be able to grow our revenues, which would adversely affect our results of operations and increase the cash used to fund our operations, and could raise substantial doubt about our ability to continue as a going concern.</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volatile and is likely to be volatile in the future.</w:t>
      </w:r>
    </w:p>
    <w:p>
      <w:pPr>
        <w:spacing w:after="0" w:line="96" w:lineRule="exact"/>
        <w:rPr>
          <w:sz w:val="20"/>
          <w:szCs w:val="20"/>
          <w:color w:val="auto"/>
        </w:rPr>
      </w:pPr>
    </w:p>
    <w:p>
      <w:pPr>
        <w:ind w:right="240" w:firstLine="228"/>
        <w:spacing w:after="0" w:line="306" w:lineRule="auto"/>
        <w:rPr>
          <w:sz w:val="20"/>
          <w:szCs w:val="20"/>
          <w:color w:val="auto"/>
        </w:rPr>
      </w:pPr>
      <w:r>
        <w:rPr>
          <w:rFonts w:ascii="Arial" w:cs="Arial" w:eastAsia="Arial" w:hAnsi="Arial"/>
          <w:sz w:val="16"/>
          <w:szCs w:val="16"/>
          <w:color w:val="auto"/>
        </w:rPr>
        <w:t>Historically the market price of our common stock has fluctuated significantly. The sales price of our common stock ranged from $.22 to $2.60 in 2008 and from $.30 to $1.44 in 2009. In addition to those risks described earlier in this section, the market price of our common stock can be expected to fluctuate significantly in response to numerous other factors, many of which are beyond our control, including the following:</w:t>
      </w:r>
    </w:p>
    <w:p>
      <w:pPr>
        <w:spacing w:after="0" w:line="26" w:lineRule="exact"/>
        <w:rPr>
          <w:sz w:val="20"/>
          <w:szCs w:val="20"/>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technical innovations, acquisitions, strategic partnerships, joint ventures or capital commitments;</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or the stock market generally even if these events do not directly affect us. Each of these factors, among others, could cause our stock price to decline. Some companies that have had volatile market prices for their securities have had securities class actions filed against them. If a suit were filed against us, regardless of its merits or outcome, it could result in substantial costs and divert management’s attention and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or industry analysts may not publish research or may publish inaccurate or unfavorable research about our business.</w:t>
      </w:r>
    </w:p>
    <w:p>
      <w:pPr>
        <w:spacing w:after="0" w:line="96"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The trading market for our common stock will continue to depend in part on the research and reports that securities or industry analysts publish about us or our business. If we do not continue to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may not prevent or detect misstatements because of its inherent limitations.</w:t>
      </w:r>
    </w:p>
    <w:p>
      <w:pPr>
        <w:spacing w:after="0" w:line="9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Pursuant to the Sarbanes-Oxley Act of 2002, we are required to provide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experiences difficulties in their implementation, our business and operating results could be harmed, we could fail to meet our reporting obligations, and there could be a material adverse effect on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need additional capital in the future, it may not be available to us on favorable terms, or at all.</w:t>
      </w:r>
    </w:p>
    <w:p>
      <w:pPr>
        <w:spacing w:after="0" w:line="96"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We have historically relied on outside financing and cash flow from operations to fund our operations, capital expenditures and expansion. We may require additional capital from equity or debt financing in the future to fund our operations or respond to competitive pressures or strategic opportunities. We may not be able to secure timely additional financing on favorable terms, or at all. The terms of any additional financing may place limits on our financial and operating flexibility. If we raise additional funds through further issuances of equity, convertible debt securities or other securities convertible into equity, our existing stockholders could suffer significant dilution in their percentage ownership of our company, and any new securities we issue could have rights, preferences and privileges senior to those of holders of our common stock. If we are unable to obtain adequate financing or financing on terms satisfactory to us, if and when we require it, our ability to grow or support our business and to respond to business challenges could be significantly limited.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20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Because we do not expect to pay dividends on our common stock, stockholders will benefit from an investment in our common stock only if it appreciates in value.</w:t>
      </w:r>
    </w:p>
    <w:p>
      <w:pPr>
        <w:spacing w:after="0" w:line="45"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have never paid cash dividends on our common stock and have no present intention to pay any dividends in the future. Any future determination about the payment of dividends will be made at the discretion of our board of directors and will depend upon our earnings, if any, our capital requirements, our operating and financial conditions and on such other factors as our board of directors may deem relevant. As a result, the success of an investment in our common stock will depend upon any future appreciation in its value. There is no guarantee that our common stock will appreciate in value or even maintain the price at which stockholders have purchased their shares.</w:t>
      </w:r>
    </w:p>
    <w:p>
      <w:pPr>
        <w:spacing w:after="0" w:line="218" w:lineRule="exact"/>
        <w:rPr>
          <w:sz w:val="20"/>
          <w:szCs w:val="20"/>
          <w:color w:val="auto"/>
        </w:rPr>
      </w:pPr>
    </w:p>
    <w:p>
      <w:pPr>
        <w:ind w:right="20"/>
        <w:spacing w:after="0" w:line="338" w:lineRule="auto"/>
        <w:rPr>
          <w:sz w:val="20"/>
          <w:szCs w:val="20"/>
          <w:color w:val="auto"/>
        </w:rPr>
      </w:pPr>
      <w:r>
        <w:rPr>
          <w:rFonts w:ascii="Arial" w:cs="Arial" w:eastAsia="Arial" w:hAnsi="Arial"/>
          <w:sz w:val="16"/>
          <w:szCs w:val="16"/>
          <w:b w:val="1"/>
          <w:bCs w:val="1"/>
          <w:color w:val="auto"/>
        </w:rPr>
        <w:t>Future sales of a substantial number of shares of our common stock in the public market, including the shares offered pursuant to this prospectus, could adversely affect the trading price of our common stock and impair our ability to raise funds in future stock offerings.</w:t>
      </w:r>
    </w:p>
    <w:p>
      <w:pPr>
        <w:spacing w:after="0" w:line="1" w:lineRule="exact"/>
        <w:rPr>
          <w:sz w:val="20"/>
          <w:szCs w:val="20"/>
          <w:color w:val="auto"/>
        </w:rPr>
      </w:pPr>
    </w:p>
    <w:p>
      <w:pPr>
        <w:ind w:right="220" w:firstLine="228"/>
        <w:spacing w:after="0" w:line="335" w:lineRule="auto"/>
        <w:rPr>
          <w:sz w:val="20"/>
          <w:szCs w:val="20"/>
          <w:color w:val="auto"/>
        </w:rPr>
      </w:pPr>
      <w:r>
        <w:rPr>
          <w:rFonts w:ascii="Arial" w:cs="Arial" w:eastAsia="Arial" w:hAnsi="Arial"/>
          <w:sz w:val="15"/>
          <w:szCs w:val="15"/>
          <w:color w:val="auto"/>
        </w:rPr>
        <w:t>Future sales of a substantial number of shares of our common stock in the public market, including the shares to be offered pursuant to this prospectus and other resale prospectuses and shares available for resale under Rule 144 under the Securities Act, or the perception that such sales could occur, could adversely affect the prevailing market price of our common stock and could make it more difficult for us to raise additional capital through the sale of equity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maintain the listing of our common stock on The Nasdaq Global Market.</w:t>
      </w:r>
    </w:p>
    <w:p>
      <w:pPr>
        <w:spacing w:after="0" w:line="96"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Our ability to raise additional capital may be dependent upon our stock being quoted on The Nasdaq Global Market. Delisting from The Nasdaq Global Market could have an adverse effect on our business and on the trading of our common stock. If a delisting of our common stock from The Nasdaq Global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1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96"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with which you may not agree. Accordingly, you will be relying on the judgment of our management with regard to the use of these net proceeds, and you will not have the opportunity, as part of your investment decision, to assess whether the proceeds are being used appropriately. It is possible that the proceeds will be invested or otherwise used in a way that does not yield a favorable, or any, return for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experience immediate dilution in the book value per share of the common stock you purchase.</w:t>
      </w:r>
    </w:p>
    <w:p>
      <w:pPr>
        <w:spacing w:after="0" w:line="96"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You will suffer immediate dilution in the net tangible book value of the common stock you purchase in this offering because the price per share of our common stock being offered hereby is substantially higher than the book value per share of our common stock. Based on the public offering price of $ per share in this offering, if you purchase shares of common stock in this offering, you will suffer immediate and substantial dilution of $ per share in the net tangible book value of the common stock. See “Dilution” on page S-15 for a more detailed discussion of the dilution you will incur in this offering.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USE OF PROCEEDS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We estimate that the net proceeds to us from the sale of our common stock in this offering will be approximately $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 after deducting the estimated</w:t>
      </w:r>
    </w:p>
    <w:p>
      <w:pPr>
        <w:spacing w:after="0" w:line="421" w:lineRule="exact"/>
        <w:rPr>
          <w:sz w:val="20"/>
          <w:szCs w:val="20"/>
          <w:color w:val="auto"/>
        </w:rPr>
      </w:pPr>
    </w:p>
    <w:p>
      <w:pPr>
        <w:sectPr>
          <w:pgSz w:w="11900" w:h="16838" w:orient="portrait"/>
          <w:cols w:equalWidth="0" w:num="2">
            <w:col w:w="8260" w:space="720"/>
            <w:col w:w="2420"/>
          </w:cols>
          <w:pgMar w:left="240" w:top="459" w:right="259" w:bottom="1440" w:gutter="0" w:footer="0" w:header="0"/>
          <w:type w:val="continuous"/>
        </w:sectPr>
      </w:pPr>
    </w:p>
    <w:p>
      <w:pPr>
        <w:ind w:right="540" w:firstLine="228"/>
        <w:spacing w:after="0" w:line="268" w:lineRule="auto"/>
        <w:rPr>
          <w:sz w:val="20"/>
          <w:szCs w:val="20"/>
          <w:color w:val="auto"/>
        </w:rPr>
      </w:pPr>
      <w:r>
        <w:rPr>
          <w:rFonts w:ascii="Arial" w:cs="Arial" w:eastAsia="Arial" w:hAnsi="Arial"/>
          <w:sz w:val="18"/>
          <w:szCs w:val="18"/>
          <w:color w:val="auto"/>
        </w:rPr>
        <w:t>We currently intend to use the net proceeds we receive from the sale of our common stock in this offering for working capital requirements and general corporate purposes.</w:t>
      </w:r>
    </w:p>
    <w:p>
      <w:pPr>
        <w:spacing w:after="0" w:line="132"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At this time, we have not determined the approximate amount of net proceeds that will be allocated to each of the uses of proceeds stated above. We may also use a portion of the net proceeds to fund possible partnerships, minority investments, products or technologies. Currently, there are no commitments or agreements regarding such acquisitions or investments that are material. Our management will retain broad discretion as to the allocation of the net proceeds from this offering. Pending application of the net proceeds as described above, we intend to invest the proceeds in highly liquid, investment-grade securities and money market funds.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140" w:firstLine="228"/>
        <w:spacing w:after="0" w:line="302" w:lineRule="auto"/>
        <w:rPr>
          <w:sz w:val="20"/>
          <w:szCs w:val="20"/>
          <w:color w:val="auto"/>
        </w:rPr>
      </w:pPr>
      <w:r>
        <w:rPr>
          <w:rFonts w:ascii="Arial" w:cs="Arial" w:eastAsia="Arial" w:hAnsi="Arial"/>
          <w:sz w:val="15"/>
          <w:szCs w:val="15"/>
          <w:color w:val="auto"/>
        </w:rPr>
        <w:t>If you invest in our common stock, your interest will be diluted to the extent of the difference between the public offering price per share you pay in this offering and the net tangible book value per share of our common stock immediately after this offering. Our unaudited net tangible book value of our common stock as of September 30, 2009 was approximately $15.9 million, or approximately $0.239 per share of common stock based upon 66,478,623 shares outstanding. Net tangible book value per share is equal to our total tangible assets, less our total liabilities, divided by the total number of shares of our common stock outstanding as of September 30, 2009. After giving effect to the sale by us of the shares of our common stock we are offering, our as-adjusted net tangible</w:t>
      </w:r>
    </w:p>
    <w:p>
      <w:pPr>
        <w:spacing w:after="0" w:line="2" w:lineRule="exact"/>
        <w:rPr>
          <w:sz w:val="20"/>
          <w:szCs w:val="20"/>
          <w:color w:val="auto"/>
        </w:rPr>
      </w:pPr>
    </w:p>
    <w:p>
      <w:pPr>
        <w:spacing w:after="0"/>
        <w:tabs>
          <w:tab w:leader="none" w:pos="3580" w:val="left"/>
          <w:tab w:leader="none" w:pos="5900" w:val="left"/>
          <w:tab w:leader="none" w:pos="9080" w:val="left"/>
        </w:tabs>
        <w:rPr>
          <w:sz w:val="20"/>
          <w:szCs w:val="20"/>
          <w:color w:val="auto"/>
        </w:rPr>
      </w:pPr>
      <w:r>
        <w:rPr>
          <w:rFonts w:ascii="Arial" w:cs="Arial" w:eastAsia="Arial" w:hAnsi="Arial"/>
          <w:sz w:val="18"/>
          <w:szCs w:val="18"/>
          <w:color w:val="auto"/>
        </w:rPr>
        <w:t>book value would have been 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8"/>
          <w:szCs w:val="18"/>
          <w:color w:val="auto"/>
        </w:rPr>
        <w:t>per share of common stock based upon</w:t>
      </w:r>
      <w:r>
        <w:rPr>
          <w:sz w:val="20"/>
          <w:szCs w:val="20"/>
          <w:color w:val="auto"/>
        </w:rPr>
        <w:tab/>
      </w:r>
      <w:r>
        <w:rPr>
          <w:rFonts w:ascii="Arial" w:cs="Arial" w:eastAsia="Arial" w:hAnsi="Arial"/>
          <w:sz w:val="15"/>
          <w:szCs w:val="15"/>
          <w:color w:val="auto"/>
        </w:rPr>
        <w:t>shares outstanding. This</w:t>
      </w:r>
    </w:p>
    <w:p>
      <w:pPr>
        <w:spacing w:after="0" w:line="9"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represents an immediate increase in net tangible book value of $</w:t>
      </w:r>
      <w:r>
        <w:rPr>
          <w:sz w:val="20"/>
          <w:szCs w:val="20"/>
          <w:color w:val="auto"/>
        </w:rPr>
        <w:tab/>
      </w:r>
      <w:r>
        <w:rPr>
          <w:rFonts w:ascii="Arial" w:cs="Arial" w:eastAsia="Arial" w:hAnsi="Arial"/>
          <w:sz w:val="15"/>
          <w:szCs w:val="15"/>
          <w:color w:val="auto"/>
        </w:rPr>
        <w:t>per share to our existing stockholders and an immediate dilution in net tangible book value</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5"/>
          <w:szCs w:val="15"/>
          <w:color w:val="auto"/>
        </w:rPr>
        <w:t>per share to new investors. The following table illustrates this calculation on a per share basis: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04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tangible book value per share as of September 30, 2009</w:t>
            </w:r>
          </w:p>
        </w:tc>
        <w:tc>
          <w:tcPr>
            <w:tcW w:w="2040" w:type="dxa"/>
            <w:vAlign w:val="bottom"/>
          </w:tcPr>
          <w:p>
            <w:pPr>
              <w:ind w:left="1540"/>
              <w:spacing w:after="0"/>
              <w:rPr>
                <w:sz w:val="20"/>
                <w:szCs w:val="20"/>
                <w:color w:val="auto"/>
              </w:rPr>
            </w:pPr>
            <w:r>
              <w:rPr>
                <w:rFonts w:ascii="Arial" w:cs="Arial" w:eastAsia="Arial" w:hAnsi="Arial"/>
                <w:sz w:val="18"/>
                <w:szCs w:val="18"/>
                <w:color w:val="auto"/>
                <w:w w:val="87"/>
              </w:rPr>
              <w:t>$0.239</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2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As-adjusted net tangible book value per share after giving effect to the offering</w:t>
            </w:r>
          </w:p>
        </w:tc>
        <w:tc>
          <w:tcPr>
            <w:tcW w:w="2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204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foregoing table excludes the following, each stated as of September 30, 2009:</w:t>
      </w:r>
    </w:p>
    <w:p>
      <w:pPr>
        <w:spacing w:after="0" w:line="90" w:lineRule="exact"/>
        <w:rPr>
          <w:sz w:val="20"/>
          <w:szCs w:val="20"/>
          <w:color w:val="auto"/>
        </w:rPr>
      </w:pPr>
    </w:p>
    <w:p>
      <w:pPr>
        <w:ind w:left="440" w:hanging="216"/>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5,765,637 shares of our common stock issuable upon the exercise of stock options at a weighted average exercise price of $1.96 per share;</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3,935,272 shares of common stock reserved for future issuance under our stock plans;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123,013 shares of restricted stock issuable subject to vesting requirements.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Subject to the terms and conditions set forth in an underwriting agreement, the underwriter named below has agreed to purchase from us the aggregate number of shares set forth opposite its name below:</w:t>
      </w:r>
    </w:p>
    <w:p>
      <w:pPr>
        <w:spacing w:after="0" w:line="168" w:lineRule="exact"/>
        <w:rPr>
          <w:sz w:val="20"/>
          <w:szCs w:val="20"/>
          <w:color w:val="auto"/>
        </w:rPr>
      </w:pPr>
    </w:p>
    <w:p>
      <w:pPr>
        <w:ind w:left="1140"/>
        <w:spacing w:after="0"/>
        <w:tabs>
          <w:tab w:leader="none" w:pos="920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23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10795</wp:posOffset>
            </wp:positionV>
            <wp:extent cx="668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5862320</wp:posOffset>
            </wp:positionH>
            <wp:positionV relativeFrom="paragraph">
              <wp:posOffset>27940</wp:posOffset>
            </wp:positionV>
            <wp:extent cx="668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underwriting agreement provides that the obligations of the underwriter are subject to various conditions, including approval of legal matters by counsel.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nature of the underwriter’s obligations commits the underwriter to purchase and pay for all of the shares listed above if any are purchased.</w:t>
      </w:r>
    </w:p>
    <w:p>
      <w:pPr>
        <w:spacing w:after="0" w:line="165" w:lineRule="exact"/>
        <w:rPr>
          <w:sz w:val="20"/>
          <w:szCs w:val="20"/>
          <w:color w:val="auto"/>
        </w:rPr>
      </w:pPr>
    </w:p>
    <w:p>
      <w:pPr>
        <w:ind w:left="240"/>
        <w:spacing w:after="0"/>
        <w:tabs>
          <w:tab w:leader="none" w:pos="6100" w:val="left"/>
        </w:tabs>
        <w:rPr>
          <w:sz w:val="20"/>
          <w:szCs w:val="20"/>
          <w:color w:val="auto"/>
        </w:rPr>
      </w:pPr>
      <w:r>
        <w:rPr>
          <w:rFonts w:ascii="Arial" w:cs="Arial" w:eastAsia="Arial" w:hAnsi="Arial"/>
          <w:sz w:val="16"/>
          <w:szCs w:val="16"/>
          <w:color w:val="auto"/>
        </w:rPr>
        <w:t>The underwriter expects to deliver the shares to purchasers on or about February</w:t>
      </w:r>
      <w:r>
        <w:rPr>
          <w:sz w:val="20"/>
          <w:szCs w:val="20"/>
          <w:color w:val="auto"/>
        </w:rPr>
        <w:tab/>
      </w:r>
      <w:r>
        <w:rPr>
          <w:rFonts w:ascii="Arial" w:cs="Arial" w:eastAsia="Arial" w:hAnsi="Arial"/>
          <w:sz w:val="15"/>
          <w:szCs w:val="15"/>
          <w:color w:val="auto"/>
        </w:rPr>
        <w:t>, 2010.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underwriter proposes to offer the shares directly to the public at the public offering price set forth on the cover page of this prospectus supplement. After this offering, the offering price and other selling terms may be changed by the underwriter. Our shares are offered subject to receipt and acceptance by the underwriter and to the other conditions, including the right to reject orders in whole or in part.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compensation to be paid to the underwriter by us and the proceeds, before expenses, payable to us:</w:t>
      </w:r>
    </w:p>
    <w:p>
      <w:pPr>
        <w:spacing w:after="0" w:line="207" w:lineRule="exact"/>
        <w:rPr>
          <w:sz w:val="20"/>
          <w:szCs w:val="20"/>
          <w:color w:val="auto"/>
        </w:rPr>
      </w:pPr>
    </w:p>
    <w:p>
      <w:pPr>
        <w:ind w:left="8580"/>
        <w:spacing w:after="0"/>
        <w:tabs>
          <w:tab w:leader="none" w:pos="9960" w:val="left"/>
        </w:tabs>
        <w:rPr>
          <w:sz w:val="20"/>
          <w:szCs w:val="20"/>
          <w:color w:val="auto"/>
        </w:rPr>
      </w:pPr>
      <w:r>
        <w:rPr>
          <w:rFonts w:ascii="Arial" w:cs="Arial" w:eastAsia="Arial" w:hAnsi="Arial"/>
          <w:sz w:val="14"/>
          <w:szCs w:val="14"/>
          <w:b w:val="1"/>
          <w:bCs w:val="1"/>
          <w:u w:val="single" w:color="auto"/>
          <w:color w:val="auto"/>
        </w:rPr>
        <w:t>Per Share</w:t>
      </w:r>
      <w:r>
        <w:rPr>
          <w:sz w:val="20"/>
          <w:szCs w:val="20"/>
          <w:color w:val="auto"/>
        </w:rPr>
        <w:tab/>
      </w:r>
      <w:r>
        <w:rPr>
          <w:rFonts w:ascii="Arial" w:cs="Arial" w:eastAsia="Arial" w:hAnsi="Arial"/>
          <w:sz w:val="12"/>
          <w:szCs w:val="12"/>
          <w:b w:val="1"/>
          <w:bCs w:val="1"/>
          <w:u w:val="single" w:color="auto"/>
          <w:color w:val="auto"/>
        </w:rPr>
        <w:t>Total</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Underwriting discounts and commissions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45"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In addition, we have agreed to reimburse the underwriter for the fees and expenses incurred by it in connection with the offering in an amount not to exceed $125,000.</w:t>
      </w:r>
    </w:p>
    <w:p>
      <w:pPr>
        <w:spacing w:after="0" w:line="132" w:lineRule="exact"/>
        <w:rPr>
          <w:sz w:val="20"/>
          <w:szCs w:val="20"/>
          <w:color w:val="auto"/>
        </w:rPr>
      </w:pPr>
    </w:p>
    <w:p>
      <w:pPr>
        <w:ind w:right="220" w:firstLine="228"/>
        <w:spacing w:after="0" w:line="370" w:lineRule="auto"/>
        <w:rPr>
          <w:sz w:val="20"/>
          <w:szCs w:val="20"/>
          <w:color w:val="auto"/>
        </w:rPr>
      </w:pPr>
      <w:r>
        <w:rPr>
          <w:rFonts w:ascii="Arial" w:cs="Arial" w:eastAsia="Arial" w:hAnsi="Arial"/>
          <w:sz w:val="15"/>
          <w:szCs w:val="15"/>
          <w:color w:val="auto"/>
        </w:rPr>
        <w:t>In compliance with the guidelines of the Financial Industry Regulatory Authority, or FINRA, the maximum consideration or discount to be received by any FINRA member or independent broker dealer may not exceed 8.0% of the aggregate amount of the securities offered pursuant to this prospectus supplement.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w:t>
      </w:r>
    </w:p>
    <w:p>
      <w:pPr>
        <w:spacing w:after="0" w:line="9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underwriting agreement provides that we will indemnify the underwriter against liabilities specified in the underwriting agreement under the Securities Act, or will contribute to payments that the underwriter may be required to make relating to these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The underwriter will require all of our directors and executive officers to agree not to offer, sell, contract to sell, pledge (except a pledge for our benefit pursuant to an agreement entered or to be entered into between us and the applicable director or executive officer), grant any option to purchase, make any short sale or otherwise transfer or dispose of, directly or indirectly, any shares of common stock, any options or warrants to purchase any shares of common stock or any securities convertible into, exchangeable for or that represent the right to receive shares of common stock, subject to certain exceptions, without the prior written consent of the underwriter, for a period of 90 days after the date of this prospectus supplement. Notwithstanding the foregoing, if (a) during the last 17 days of this 90-day period, we release or publish</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financial results or results from operations or announce material news or a material event or (b) prior to the expiration of this 90-day period, we announce that we will release or publish financial results or results from operations during the 15-day period following the last day of the 90-day period, then in each case the above restrictions will be automatically extended until the expiration of the 18-day period beginning on the date of release of the earnings results or the announcement of the material news or material event, as applicable, subject to certain exceptions, unless the underwriter waives, in writing, such extension.</w:t>
      </w:r>
    </w:p>
    <w:p>
      <w:pPr>
        <w:spacing w:after="0" w:line="11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have agreed that for a period of 90 days after the date of this prospectus supplement, subject to extension as described above, we will not, without the prior written consent of the underwriter, offer, sell, contract to sell or otherwise dispose of any shares of common stock or any securities that are substantially similar to the common stock, including any securities that are convertible into or exchangeable for, or that represent the right to receive, shares of common stock or any such substantially similar securities, except for:</w:t>
      </w:r>
    </w:p>
    <w:p>
      <w:pPr>
        <w:spacing w:after="0" w:line="62" w:lineRule="exact"/>
        <w:rPr>
          <w:sz w:val="20"/>
          <w:szCs w:val="20"/>
          <w:color w:val="auto"/>
        </w:rPr>
      </w:pPr>
    </w:p>
    <w:p>
      <w:pPr>
        <w:ind w:left="440" w:hanging="2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offered in this offering;</w:t>
      </w:r>
    </w:p>
    <w:p>
      <w:pPr>
        <w:spacing w:after="0" w:line="90" w:lineRule="exact"/>
        <w:rPr>
          <w:rFonts w:ascii="Arial" w:cs="Arial" w:eastAsia="Arial" w:hAnsi="Arial"/>
          <w:sz w:val="18"/>
          <w:szCs w:val="18"/>
          <w:color w:val="auto"/>
        </w:rPr>
      </w:pPr>
    </w:p>
    <w:p>
      <w:pPr>
        <w:ind w:left="440" w:right="680" w:hanging="216"/>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of common stock issuable upon conversion or exercise of convertible or exercisable securities outstanding on the date of this prospectus supplement; and</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of our common stock that are issued under our existing stock option plans.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is traded on The Nasdaq Global Market under the symbol “ACPW.”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Accounts</w:t>
      </w:r>
    </w:p>
    <w:p>
      <w:pPr>
        <w:spacing w:after="0" w:line="96"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The underwriter does not expect sales of shares offered by this prospectus supplement to any accounts over which the underwriter exercises discretionary authority to exceed five percent of the shares offered.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underwriter has informed us that it will not engage in over-allotment, stabilizing or syndicate covering transactions in connection with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underwriter has provided, and may in the future provide, various investment banking and other financial services for us for which services it has received, any may receive in the future, customary fees.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228"/>
        <w:spacing w:after="0" w:line="370" w:lineRule="auto"/>
        <w:rPr>
          <w:sz w:val="20"/>
          <w:szCs w:val="20"/>
          <w:color w:val="auto"/>
        </w:rPr>
      </w:pPr>
      <w:r>
        <w:rPr>
          <w:rFonts w:ascii="Arial" w:cs="Arial" w:eastAsia="Arial" w:hAnsi="Arial"/>
          <w:sz w:val="15"/>
          <w:szCs w:val="15"/>
          <w:color w:val="auto"/>
        </w:rPr>
        <w:t>Wilson Sonsini Goodrich &amp; Rosati, Professional Corporation, Austin, Texas, has passed upon the validity of the issuance of the securities offered by this prospectus. Goodwin Procter LLP, Boston, Massachusetts, is acting as counsel for the underwriter in connection with certain legal matters relating to this offering.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2008 as set forth in their report, which is incorporated by reference in this prospectus supplement, the accompanying prospectus and elsewhere in the registration statement. Our financial statements are incorporated by reference in reliance on Ernst &amp; Young LLP’s report, given on their authority as experts in accounting and auditing.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$25,000,000</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ACTIVE POWER, INC.</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By this prospectus, we may offer, from time to time —</w:t>
      </w:r>
    </w:p>
    <w:p>
      <w:pPr>
        <w:spacing w:after="0" w:line="193" w:lineRule="exact"/>
        <w:rPr>
          <w:sz w:val="20"/>
          <w:szCs w:val="20"/>
          <w:color w:val="auto"/>
        </w:rPr>
      </w:pPr>
    </w:p>
    <w:p>
      <w:pPr>
        <w:ind w:left="4440" w:hanging="326"/>
        <w:spacing w:after="0"/>
        <w:tabs>
          <w:tab w:leader="none" w:pos="44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Common stock</w:t>
      </w:r>
    </w:p>
    <w:p>
      <w:pPr>
        <w:spacing w:after="0" w:line="71" w:lineRule="exact"/>
        <w:rPr>
          <w:rFonts w:ascii="Arial" w:cs="Arial" w:eastAsia="Arial" w:hAnsi="Arial"/>
          <w:sz w:val="22"/>
          <w:szCs w:val="22"/>
          <w:color w:val="auto"/>
        </w:rPr>
      </w:pPr>
    </w:p>
    <w:p>
      <w:pPr>
        <w:ind w:left="4440" w:hanging="326"/>
        <w:spacing w:after="0"/>
        <w:tabs>
          <w:tab w:leader="none" w:pos="44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w:t>
      </w:r>
      <w:hyperlink w:anchor="page2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5 for information you should consider before buying our securities.</w:t>
      </w:r>
    </w:p>
    <w:p>
      <w:pPr>
        <w:spacing w:after="0" w:line="18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From time to time, we may offer and sell, in one or more offerings, in amounts, at prices and on terms determined at the time of any such offering, common stock, warrants, and any combination thereof, with a total value of up to $25,000,000.</w:t>
      </w:r>
    </w:p>
    <w:p>
      <w:pPr>
        <w:spacing w:after="0" w:line="155"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As of December 15, 2009, the aggregate market value of our outstanding common stock held by non-affiliates was $65,709,295, based on 66,478,623 shares of outstanding common stock, of which 65,709,295 are held by non-affiliates, and a price of $1.00 per share, based on the closing sale price of our common stock on December 15, 2009 as reported by The Nasdaq Global Market. We have not offered any securities pursuant to General Instruction 1.B.6 of Form S-3 during the prior 12-month period that ends on and includes the date of this prospectus.</w:t>
      </w:r>
    </w:p>
    <w:p>
      <w:pPr>
        <w:spacing w:after="0" w:line="12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Our common stock is listed on The Nasdaq Global Market under the symbol “ACPW.” On December 15, 2009, the closing price of our common stock was $1.00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173355</wp:posOffset>
            </wp:positionV>
            <wp:extent cx="28213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will provide specific terms of these securities in supplements to this prospectus. You should read this prospectus and any supplement carefully before you purchase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may not be used to offer and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is dated December 21, 2009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4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00" w:type="dxa"/>
            <w:vAlign w:val="bottom"/>
            <w:gridSpan w:val="12"/>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71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000" w:type="dxa"/>
            <w:vAlign w:val="bottom"/>
            <w:gridSpan w:val="12"/>
            <w:vMerge w:val="continue"/>
          </w:tcPr>
          <w:p>
            <w:pPr>
              <w:spacing w:after="0"/>
              <w:rPr>
                <w:sz w:val="14"/>
                <w:szCs w:val="14"/>
                <w:color w:val="auto"/>
              </w:rPr>
            </w:pPr>
          </w:p>
        </w:tc>
        <w:tc>
          <w:tcPr>
            <w:tcW w:w="714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1200" w:type="dxa"/>
            <w:vAlign w:val="bottom"/>
            <w:gridSpan w:val="2"/>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Note Regarding Forward-Looking Statements</w:t>
              </w:r>
            </w:hyperlink>
          </w:p>
        </w:tc>
        <w:tc>
          <w:tcPr>
            <w:tcW w:w="760" w:type="dxa"/>
            <w:vAlign w:val="bottom"/>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3100" w:type="dxa"/>
            <w:vAlign w:val="bottom"/>
            <w:gridSpan w:val="10"/>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Securities We May Offer</w:t>
              </w:r>
            </w:hyperlink>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2240" w:type="dxa"/>
            <w:vAlign w:val="bottom"/>
            <w:gridSpan w:val="5"/>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Description of Common Stock</w:t>
              </w:r>
            </w:hyperlink>
          </w:p>
        </w:tc>
        <w:tc>
          <w:tcPr>
            <w:tcW w:w="1840" w:type="dxa"/>
            <w:vAlign w:val="bottom"/>
            <w:gridSpan w:val="3"/>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Warrants</w:t>
              </w:r>
            </w:hyperlink>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2060" w:type="dxa"/>
            <w:vAlign w:val="bottom"/>
            <w:gridSpan w:val="4"/>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2600" w:type="dxa"/>
            <w:vAlign w:val="bottom"/>
            <w:gridSpan w:val="7"/>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3020" w:type="dxa"/>
            <w:vAlign w:val="bottom"/>
            <w:gridSpan w:val="9"/>
          </w:tcPr>
          <w:p>
            <w:pPr>
              <w:spacing w:after="0"/>
              <w:rPr>
                <w:sz w:val="17"/>
                <w:szCs w:val="17"/>
                <w:color w:val="auto"/>
              </w:rPr>
            </w:pPr>
          </w:p>
        </w:tc>
        <w:tc>
          <w:tcPr>
            <w:tcW w:w="7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accompanying prospectus supplement shall constitute an offer to sell or a solicitation of an offer to buy offered securities in any jurisdiction in which it is unlawful for such person to make such an offering or solicitation. Neither the delivery of this prospectus or any accompanying prospectus supplement nor any sale made hereunder shall under any circumstances imply that the information contained or incorporated by reference in this prospectus or in any accompanying prospectus supplement is correct as of any date subsequent to the date of this prospectus or any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157480</wp:posOffset>
            </wp:positionV>
            <wp:extent cx="1878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9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48494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left="200" w:right="60" w:firstLine="221"/>
        <w:spacing w:after="0" w:line="294" w:lineRule="auto"/>
        <w:rPr>
          <w:sz w:val="20"/>
          <w:szCs w:val="20"/>
          <w:color w:val="auto"/>
        </w:rPr>
      </w:pPr>
      <w:r>
        <w:rPr>
          <w:rFonts w:ascii="Arial" w:cs="Arial" w:eastAsia="Arial" w:hAnsi="Arial"/>
          <w:sz w:val="16"/>
          <w:szCs w:val="16"/>
          <w:color w:val="auto"/>
        </w:rPr>
        <w:t>We file reports, proxy statements and other information with the Securities and Exchange Commission, or the Commission, in accordance with the Securities Exchange Act of 1934, or the Exchange Act. You may read and copy our reports, proxy statements and other information filed by us at the Public Reference Room of the Commission at 100 F Street, N.E., Washington, D.C. 20549. Please call the Commission at 1-800-SEC-0330 for further information about the Public Reference Room. Our reports, proxy statements and other information filed with the Commission are available to the public over the Internet at the Commission’s website at www.sec.gov and on our Internet website at http://www.activepower.com.</w:t>
      </w:r>
    </w:p>
    <w:p>
      <w:pPr>
        <w:spacing w:after="0" w:line="116" w:lineRule="exact"/>
        <w:rPr>
          <w:sz w:val="20"/>
          <w:szCs w:val="20"/>
          <w:color w:val="auto"/>
        </w:rPr>
      </w:pPr>
    </w:p>
    <w:p>
      <w:pPr>
        <w:ind w:left="200" w:firstLine="221"/>
        <w:spacing w:after="0" w:line="291" w:lineRule="auto"/>
        <w:rPr>
          <w:sz w:val="20"/>
          <w:szCs w:val="20"/>
          <w:color w:val="auto"/>
        </w:rPr>
      </w:pPr>
      <w:r>
        <w:rPr>
          <w:rFonts w:ascii="Arial" w:cs="Arial" w:eastAsia="Arial" w:hAnsi="Arial"/>
          <w:sz w:val="16"/>
          <w:szCs w:val="16"/>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we will make with the Commission under Section 13(a), 13(c), 14 or 15(d) of the Exchange Act, after the date of this prospectus but before the end of any offering made under this prospectus and accompanying prospectus supplement (other than current reports or portions thereof furnished under Item 2.02, 7.01 or 8.01 of Form 8-K, unless such current reports or portions thereof specifically reference their contents as being filed):</w:t>
      </w:r>
    </w:p>
    <w:p>
      <w:pPr>
        <w:spacing w:after="0" w:line="39" w:lineRule="exact"/>
        <w:rPr>
          <w:sz w:val="20"/>
          <w:szCs w:val="20"/>
          <w:color w:val="auto"/>
        </w:rPr>
      </w:pPr>
    </w:p>
    <w:p>
      <w:pPr>
        <w:ind w:left="620" w:right="340" w:hanging="207"/>
        <w:spacing w:after="0" w:line="26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620" w:right="460" w:hanging="207"/>
        <w:spacing w:after="0" w:line="26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3, 2009, as amended by that certain Amendment No. 1 to Form 10-K filed with the SEC on October 28, 2009;</w:t>
      </w:r>
    </w:p>
    <w:p>
      <w:pPr>
        <w:spacing w:after="0" w:line="50" w:lineRule="exact"/>
        <w:rPr>
          <w:rFonts w:ascii="Arial" w:cs="Arial" w:eastAsia="Arial" w:hAnsi="Arial"/>
          <w:sz w:val="18"/>
          <w:szCs w:val="18"/>
          <w:color w:val="auto"/>
        </w:rPr>
      </w:pPr>
    </w:p>
    <w:p>
      <w:pPr>
        <w:ind w:left="620" w:hanging="20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2009, filed with the SEC on July 28, 2009;</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2009, filed with the SEC on October 27, 2009;</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March 17, 2009, May 14, 2009, June 1, 2009, July 6, 2009 and October 29, 2009.</w:t>
      </w:r>
    </w:p>
    <w:p>
      <w:pPr>
        <w:spacing w:after="0" w:line="194" w:lineRule="exact"/>
        <w:rPr>
          <w:sz w:val="20"/>
          <w:szCs w:val="20"/>
          <w:color w:val="auto"/>
        </w:rPr>
      </w:pPr>
    </w:p>
    <w:p>
      <w:pPr>
        <w:ind w:left="200" w:right="460" w:firstLine="221"/>
        <w:spacing w:after="0" w:line="268" w:lineRule="auto"/>
        <w:rPr>
          <w:sz w:val="20"/>
          <w:szCs w:val="20"/>
          <w:color w:val="auto"/>
        </w:rPr>
      </w:pPr>
      <w:r>
        <w:rPr>
          <w:rFonts w:ascii="Arial" w:cs="Arial" w:eastAsia="Arial" w:hAnsi="Arial"/>
          <w:sz w:val="18"/>
          <w:szCs w:val="18"/>
          <w:color w:val="auto"/>
        </w:rPr>
        <w:t>Copies of documents incorporated by reference, excluding exhibits except to the extent such exhibits are specifically incorporated by reference, are available from us without charge, upon oral or written request to:</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Attn: John K. Penver, Chief Financial Officer</w:t>
      </w:r>
    </w:p>
    <w:p>
      <w:pPr>
        <w:spacing w:after="0" w:line="9" w:lineRule="exact"/>
        <w:rPr>
          <w:sz w:val="20"/>
          <w:szCs w:val="20"/>
          <w:color w:val="auto"/>
        </w:rPr>
      </w:pPr>
    </w:p>
    <w:p>
      <w:pPr>
        <w:ind w:left="5600" w:hanging="417"/>
        <w:spacing w:after="0"/>
        <w:tabs>
          <w:tab w:leader="none" w:pos="5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836-6464</w:t>
      </w:r>
    </w:p>
    <w:p>
      <w:pPr>
        <w:spacing w:after="0" w:line="349"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firstLine="221"/>
        <w:spacing w:after="0" w:line="253" w:lineRule="auto"/>
        <w:rPr>
          <w:sz w:val="20"/>
          <w:szCs w:val="20"/>
          <w:color w:val="auto"/>
        </w:rPr>
      </w:pPr>
      <w:r>
        <w:rPr>
          <w:rFonts w:ascii="Arial" w:cs="Arial" w:eastAsia="Arial" w:hAnsi="Arial"/>
          <w:sz w:val="18"/>
          <w:szCs w:val="18"/>
          <w:color w:val="auto"/>
        </w:rPr>
        <w:t>This prospectus is part of a registration statement that we filed on Form S-3 with the Commission, using a “shelf” registration process. Under this shelf process, we may, from time to time, sell any combination of the securities described in this prospectus in one or more offerings up to a total dollar amount of $25,000,000. This prospectus provides you with a general description of the securities we may offer. Each time we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including the risk factors, together with the additional information described under the heading “Where You Can Find More Information.”</w:t>
      </w:r>
    </w:p>
    <w:p>
      <w:pPr>
        <w:spacing w:after="0" w:line="145" w:lineRule="exact"/>
        <w:rPr>
          <w:sz w:val="20"/>
          <w:szCs w:val="20"/>
          <w:color w:val="auto"/>
        </w:rPr>
      </w:pPr>
    </w:p>
    <w:p>
      <w:pPr>
        <w:ind w:left="200" w:right="720" w:firstLine="221"/>
        <w:spacing w:after="0" w:line="268" w:lineRule="auto"/>
        <w:rPr>
          <w:sz w:val="20"/>
          <w:szCs w:val="20"/>
          <w:color w:val="auto"/>
        </w:rPr>
      </w:pPr>
      <w:r>
        <w:rPr>
          <w:rFonts w:ascii="Arial" w:cs="Arial" w:eastAsia="Arial" w:hAnsi="Arial"/>
          <w:sz w:val="18"/>
          <w:szCs w:val="18"/>
          <w:b w:val="1"/>
          <w:bCs w:val="1"/>
          <w:i w:val="1"/>
          <w:iCs w:val="1"/>
          <w:color w:val="auto"/>
        </w:rPr>
        <w:t>THIS PROSPECTUS MAY NOT BE USED TO OFFER AND SELL SECURITIES UNLESS IT IS ACCOMPANIED BY A PROSPECTUS SUPPLEMENT.</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Active Power, Inc.</w:t>
      </w:r>
    </w:p>
    <w:p>
      <w:pPr>
        <w:spacing w:after="0" w:line="177" w:lineRule="exact"/>
        <w:rPr>
          <w:sz w:val="20"/>
          <w:szCs w:val="20"/>
          <w:color w:val="auto"/>
        </w:rPr>
      </w:pPr>
    </w:p>
    <w:p>
      <w:pPr>
        <w:ind w:left="200" w:right="80" w:firstLine="221"/>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w:t>
      </w:r>
      <w:hyperlink w:anchor="page27">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5, and the information to which we refer you and the information incorporated into this prospectus by reference, for a complete understanding of our business and this offering.</w:t>
      </w:r>
    </w:p>
    <w:p>
      <w:pPr>
        <w:spacing w:after="0" w:line="143" w:lineRule="exact"/>
        <w:rPr>
          <w:sz w:val="20"/>
          <w:szCs w:val="20"/>
          <w:color w:val="auto"/>
        </w:rPr>
      </w:pPr>
    </w:p>
    <w:p>
      <w:pPr>
        <w:ind w:left="200" w:firstLine="221"/>
        <w:spacing w:after="0" w:line="289" w:lineRule="auto"/>
        <w:rPr>
          <w:sz w:val="20"/>
          <w:szCs w:val="20"/>
          <w:color w:val="auto"/>
        </w:rPr>
      </w:pPr>
      <w:r>
        <w:rPr>
          <w:rFonts w:ascii="Arial" w:cs="Arial" w:eastAsia="Arial" w:hAnsi="Arial"/>
          <w:sz w:val="16"/>
          <w:szCs w:val="16"/>
          <w:color w:val="auto"/>
        </w:rPr>
        <w:t>We are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September 30, 2009, we have shipped more than 2,400 flywheels in UPS system installations, delivering more than 600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left="200" w:firstLine="221"/>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150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81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0812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00" w:firstLine="221"/>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620" w:hanging="20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rising costs of energy worldwide;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620" w:hanging="20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left="200" w:right="440" w:firstLine="221"/>
        <w:spacing w:after="0" w:line="332" w:lineRule="auto"/>
        <w:rPr>
          <w:sz w:val="20"/>
          <w:szCs w:val="20"/>
          <w:color w:val="auto"/>
        </w:rPr>
      </w:pPr>
      <w:r>
        <w:rPr>
          <w:rFonts w:ascii="Arial" w:cs="Arial" w:eastAsia="Arial" w:hAnsi="Arial"/>
          <w:sz w:val="16"/>
          <w:szCs w:val="16"/>
          <w:color w:val="auto"/>
        </w:rPr>
        <w:t>We were founded as a Texas corporation in 1992 and reincorporated in Delaware in 2000 prior to our initial public offering. Our principal executive offices are located at 2128 W. Braker Lane, BK12, Austin, Texas 78758 and our telephone number at that address is (512) 836-6464.</w:t>
      </w:r>
    </w:p>
    <w:p>
      <w:pPr>
        <w:spacing w:after="0" w:line="382" w:lineRule="exact"/>
        <w:rPr>
          <w:sz w:val="20"/>
          <w:szCs w:val="20"/>
          <w:color w:val="auto"/>
        </w:rPr>
      </w:pPr>
    </w:p>
    <w:p>
      <w:pPr>
        <w:ind w:left="200" w:right="20" w:firstLine="221"/>
        <w:spacing w:after="0" w:line="332" w:lineRule="auto"/>
        <w:rPr>
          <w:sz w:val="20"/>
          <w:szCs w:val="20"/>
          <w:color w:val="auto"/>
        </w:rPr>
      </w:pPr>
      <w:r>
        <w:rPr>
          <w:rFonts w:ascii="Arial" w:cs="Arial" w:eastAsia="Arial" w:hAnsi="Arial"/>
          <w:sz w:val="16"/>
          <w:szCs w:val="16"/>
          <w:color w:val="auto"/>
        </w:rPr>
        <w:t>We own the registered trademarks ACTIVE POWER, CLEANSOURCE and COOLAIR in the United States and abroad. The ACTIVE POWER logo is a trademark of Active Power. All other trademarks, service marks or trade names referred to in this report are the property of their respective owners.</w:t>
      </w: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7" w:lineRule="exact"/>
        <w:rPr>
          <w:sz w:val="20"/>
          <w:szCs w:val="20"/>
          <w:color w:val="auto"/>
        </w:rPr>
      </w:pPr>
    </w:p>
    <w:p>
      <w:pPr>
        <w:jc w:val="both"/>
        <w:ind w:left="200" w:firstLine="221"/>
        <w:spacing w:after="0" w:line="303" w:lineRule="auto"/>
        <w:rPr>
          <w:sz w:val="20"/>
          <w:szCs w:val="20"/>
          <w:color w:val="auto"/>
        </w:rPr>
      </w:pPr>
      <w:r>
        <w:rPr>
          <w:rFonts w:ascii="Arial" w:cs="Arial" w:eastAsia="Arial" w:hAnsi="Arial"/>
          <w:sz w:val="15"/>
          <w:szCs w:val="15"/>
          <w:color w:val="auto"/>
        </w:rPr>
        <w:t>This prospectus and the registration statement of which it forms a part, any prospectus supplement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w:t>
      </w:r>
    </w:p>
    <w:p>
      <w:pPr>
        <w:spacing w:after="0" w:line="1"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Commission,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in our most recent Annual Report on Form 10-K and Quarterly Report on Form 10-Q and in our future filings made with the Commission. Readers are cautioned not to place undue reliance on any forward-looking statements contained herein, which reflect management’s opinions only as of the date hereof. Except as required by law, Active Power undertakes no obligation to revise or publicly release the results of any revisions to any forward-looking statements. You are advised, however, to consult any additional disclosures we have made or will make in our reports to the Commission on Forms 10-K, 10-Q and 8-K. All subsequent written and oral forward-looking statements attributable to us or persons acting on our behalf are expressly qualified in their entirety by the cautionary statements contained in this prospectus.</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2008, and our Quarterly Reports for the quarterly periods ended March 31, 2009, June 30, 2009 and September 30, 2009, all of which are incorporated herein by reference, and may be amended, supplemented or superseded from time to time by other reports we file with the Commission in the future. The risks and uncertainties we have described are not the only ones we face. Additional risks and uncertainties not presently known to us or that we currently deem immaterial may also affect our operations.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WE MAY OFFER</w:t>
      </w:r>
    </w:p>
    <w:p>
      <w:pPr>
        <w:spacing w:after="0" w:line="17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We may offer up to $25,000,000 of common stock and warrants in one or more offerings and in any combination thereof. A prospectus supplement, which we will provide each time we offer securities, will describe the specific amounts, prices and terms of these securities.</w:t>
      </w:r>
    </w:p>
    <w:p>
      <w:pPr>
        <w:spacing w:after="0" w:line="132"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working capital requirements, general corporate purposes and investments in and acquisitions of complementary businesses. We may also use a portion of the net proceeds to fund possible partnerships, minority investments, products or technologies. Currently, there are no commitments or agreements regarding such acquisitions or investments that are material. Pending their ultimate use, we intend to invest the net proceeds in bank demand deposits, certificates of deposit, investments in debt securities with maturities of three months or less when purchased, and money market funds which invest primarily in U.S. government obligations and commercial paper.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As of the date of this prospectus, our authorized capital stock consists of 160,000,000 shares. Those shares consist of 150,000,000 shares designated as common stock, $0.001 par value per share, and 10,000,000 shares designated as preferred stock, $0.001 par value per share. The only equity securities currently outstanding are shares of common stock. As of December 15, 2009, there were 66,478,623 shares of common stock issued and outstanding.</w:t>
      </w:r>
    </w:p>
    <w:p>
      <w:pPr>
        <w:spacing w:after="0" w:line="10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following description summarizes the material terms of our common stock. This summary is, however, subject to the provisions of our restated certificate of incorporation and any applicable certificate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 designation for a series of preferred stock, our amended bylaws, a rights agreement between us and EquiServe Trust N.A., and applicable law.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40" w:firstLine="22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Subject to preferences that may be applicable to any outstanding preferred stock, the holders of common stock are entitled to receive ratably any dividends or other distributions that may be declared from time to time by the board of directors out of funds legally available for that purpose. However, we are not currently paying any dividends. In the event of our liquidation, dissolution or winding up, the holders of common stock are entitled to share ratably in all assets remaining after payment of liabilities, subject to prior distribution rights of preferred stock then outstanding. The common stock has no preemptive or conversion rights or other subscription rights. There are no redemption or sinking fund provisions applicable to the common stock.</w:t>
      </w:r>
    </w:p>
    <w:p>
      <w:pPr>
        <w:spacing w:after="0" w:line="120"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All outstanding shares of common stock are fully paid and nonassessable, and any shares of common stock to be issued upon an offering pursuant to this prospectus and the related prospectus supplement will be fully paid and nonassessable upon issuance.</w:t>
      </w:r>
    </w:p>
    <w:p>
      <w:pPr>
        <w:spacing w:after="0" w:line="132"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“ACPW.” The transfer agent and registrar for the common stock is American Stock Transfer &amp; Trust Company,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Some Provisions of Delaware Law</w:t>
      </w:r>
    </w:p>
    <w:p>
      <w:pPr>
        <w:spacing w:after="0" w:line="96" w:lineRule="exact"/>
        <w:rPr>
          <w:sz w:val="20"/>
          <w:szCs w:val="20"/>
          <w:color w:val="auto"/>
        </w:rPr>
      </w:pPr>
    </w:p>
    <w:p>
      <w:pPr>
        <w:ind w:right="220" w:firstLine="228"/>
        <w:spacing w:after="0" w:line="254" w:lineRule="auto"/>
        <w:rPr>
          <w:sz w:val="20"/>
          <w:szCs w:val="20"/>
          <w:color w:val="auto"/>
        </w:rPr>
      </w:pPr>
      <w:r>
        <w:rPr>
          <w:rFonts w:ascii="Arial" w:cs="Arial" w:eastAsia="Arial" w:hAnsi="Arial"/>
          <w:sz w:val="18"/>
          <w:szCs w:val="18"/>
          <w:color w:val="auto"/>
        </w:rPr>
        <w:t>Provisions of Delaware law and our currently in effect restated certificate of incorporation and amended bylaws could make the acquisition of our company through a tender offer, a proxy contest or other means more difficult and could make the removal of incumbent officers and directors more difficult. We expect these provisions to discourage coercive takeover practices and inadequate takeover bids and to encourage persons seeking to acquire control of our company to first negotiate with our board of directors. We believe that the benefits provided by our ability to negotiate with the proponent of an unfriendly or unsolicited proposal outweigh the disadvantages of discouraging these proposals. We believe the negotiation of an unfriendly or unsolicited proposal could result in an improvement of its terms.</w:t>
      </w:r>
    </w:p>
    <w:p>
      <w:pPr>
        <w:spacing w:after="0" w:line="144" w:lineRule="exact"/>
        <w:rPr>
          <w:sz w:val="20"/>
          <w:szCs w:val="20"/>
          <w:color w:val="auto"/>
        </w:rPr>
      </w:pPr>
    </w:p>
    <w:p>
      <w:pPr>
        <w:jc w:val="both"/>
        <w:ind w:right="400" w:firstLine="228"/>
        <w:spacing w:after="0" w:line="259" w:lineRule="auto"/>
        <w:rPr>
          <w:sz w:val="20"/>
          <w:szCs w:val="20"/>
          <w:color w:val="auto"/>
        </w:rPr>
      </w:pPr>
      <w:r>
        <w:rPr>
          <w:rFonts w:ascii="Arial" w:cs="Arial" w:eastAsia="Arial" w:hAnsi="Arial"/>
          <w:sz w:val="18"/>
          <w:szCs w:val="18"/>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440" w:right="220" w:hanging="216"/>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440" w:hanging="216"/>
        <w:spacing w:after="0" w:line="256"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8"/>
          <w:szCs w:val="18"/>
          <w:color w:val="auto"/>
        </w:rPr>
      </w:pPr>
    </w:p>
    <w:p>
      <w:pPr>
        <w:ind w:left="440" w:right="280" w:hanging="216"/>
        <w:spacing w:after="0" w:line="259"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securities. We expect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Documents</w:t>
      </w:r>
    </w:p>
    <w:p>
      <w:pPr>
        <w:spacing w:after="0" w:line="96"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Our currently in effect restated certificate of incorporation provides for our board of directors to be divided into three classes serving staggered terms. Approximately one-third of the board of directors will be elected each year. The provision for a classified board could prevent a party who acquires control of a majority of the outstanding voting stock from obtaining control of the board of directors until the second annual stockholders meeting following the date the acquirer obtains the controlling stock interest. The classified board provision could discourage a potential acquirer from making a tender offer or otherwise attempting to obtain control of our company and could increase the likelihood that incumbent directors will retain their positions. In accordance with our currently in effect restated certificate of incorporation, directors may be removed by the affirmative vote of the holders of the outstanding shares of common stock only with cause.</w:t>
      </w:r>
    </w:p>
    <w:p>
      <w:pPr>
        <w:spacing w:after="0" w:line="147"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Our currently in effect amended bylaws establish an advance notice procedure for stockholder proposals to be brought before an annual meeting of our stockholders, including proposed nominations of persons for election to the board of directors. At an annual meeting, stockholders may only consider proposals or nominations specified in the notice of meeting or brought before the meeting by or at the direction of the board of directors. Stockholders may also consider a proposal or nomination by a person who was a stockholder of record on the record date for the meeting, who is entitled to vote at the meeting and who has given to our Secretary timely written notice, in proper form, of his or her intention to bring that business before the meeting. The amended bylaws do not give the board of directors the power to approve or disapprove stockholder nominations of candidates or proposals regarding other business to be conducted at a special or annual meeting of the stockholders. However, our amended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Our amended bylaws provide that only our board of directors may call a special meeting of stockholders. Because our stockholders do not have the right to call a special meeting, a stockholder could not force stockholder consideration of a proposal over the opposition of the board of directors by calling a special meeting of stockholders prior to such time as a majority of the board of directors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meeting.</w:t>
      </w:r>
    </w:p>
    <w:p>
      <w:pPr>
        <w:spacing w:after="0" w:line="143"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Our currently in effect restated certificate of incorporation does not allow stockholders to act by written consent without a meeting. Without the availability of stockholder’s actions by written consent, a holder controlling a majority of our capital stock would not be able to amend our amended bylaws or remove directors without holding a stockholders’ meeting. The holder would have to obtain the consent of a majority of the board of directors to call a stockholders’ meeting and satisfy the notice periods determined by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Its address is 59 Maiden Lane, Plaza Level, New York, New York 10038.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has been approved for listing on The Nasdaq Global Market under the trading symbol ACPW.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We may issue warrants for the purchase of our common stock. Warrants may be issued independently or together with our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44"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will describe the terms of the warrants, including the following:</w:t>
      </w:r>
    </w:p>
    <w:p>
      <w:pPr>
        <w:spacing w:after="0" w:line="51" w:lineRule="exact"/>
        <w:rPr>
          <w:sz w:val="20"/>
          <w:szCs w:val="20"/>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common stock that may be purchased upon exercise of the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security;</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of common stock that may be purchased upon exercise of a warrant and the exercise price for the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with respect to the holder’s right to require us to repurchase the warrants upon a change in control or similar event;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additional terms of the warrants, including procedures and limitations relating to the exchange, exercise and settlement of the warrants.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Holders of equity warrants will not be entitled to:</w:t>
      </w:r>
    </w:p>
    <w:p>
      <w:pPr>
        <w:spacing w:after="0" w:line="90" w:lineRule="exact"/>
        <w:rPr>
          <w:sz w:val="20"/>
          <w:szCs w:val="20"/>
          <w:color w:val="auto"/>
        </w:rPr>
      </w:pPr>
    </w:p>
    <w:p>
      <w:pPr>
        <w:ind w:left="440" w:hanging="2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exercise any rights as stockholders of Active Power.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securities:</w:t>
      </w:r>
    </w:p>
    <w:p>
      <w:pPr>
        <w:spacing w:after="0" w:line="51" w:lineRule="exact"/>
        <w:rPr>
          <w:sz w:val="20"/>
          <w:szCs w:val="20"/>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one or more underwriters or dealers;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may distribute the securities from time to time in one or more transactions:</w:t>
      </w:r>
    </w:p>
    <w:p>
      <w:pPr>
        <w:spacing w:after="0" w:line="90" w:lineRule="exact"/>
        <w:rPr>
          <w:sz w:val="20"/>
          <w:szCs w:val="20"/>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prices related to prevailing market prices;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will describe the method of distribution of each series of securities in the applicable prospectus supplement.</w:t>
      </w:r>
    </w:p>
    <w:p>
      <w:pPr>
        <w:spacing w:after="0" w:line="171"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our without the involvement of agents, underwriters or dealers, utilizing the Internet (sometimes referred to as the “world wide web”) or other forms of electronic bidding or ordering systems for the pricing and allocation of such securities, you will want to pay particular attention to the description of that system we will provide in a prospectus supplement.</w:t>
      </w:r>
    </w:p>
    <w:p>
      <w:pPr>
        <w:spacing w:after="0" w:line="143"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13"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40"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Many variations of Internet or other electronic auction or pricing and allocation systems are likely to be developed in the future as new technology evolves, and we may utilize such systems in connection with the sale of securities. The specific rules of such an auction would be described to potential bidders in a prospectus supplement. You should review carefully the auction and other rules we will describe in a prospectus supplement in order to understand and participate intelligently in the applicable offering.</w:t>
      </w:r>
    </w:p>
    <w:p>
      <w:pPr>
        <w:spacing w:after="0" w:line="143"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8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connection with underwritten offerings of securities,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59" w:lineRule="exact"/>
        <w:rPr>
          <w:sz w:val="20"/>
          <w:szCs w:val="20"/>
          <w:color w:val="auto"/>
        </w:rPr>
      </w:pPr>
    </w:p>
    <w:p>
      <w:pPr>
        <w:ind w:left="440" w:hanging="216"/>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stabilizing bid means the placing of any bid, or the effecting of any purchase, for the purpose of pegging, fixing or maintaining the price of a security.</w:t>
      </w:r>
    </w:p>
    <w:p>
      <w:pPr>
        <w:spacing w:after="0" w:line="113" w:lineRule="exact"/>
        <w:rPr>
          <w:rFonts w:ascii="Arial" w:cs="Arial" w:eastAsia="Arial" w:hAnsi="Arial"/>
          <w:sz w:val="16"/>
          <w:szCs w:val="16"/>
          <w:color w:val="auto"/>
        </w:rPr>
      </w:pPr>
    </w:p>
    <w:p>
      <w:pPr>
        <w:ind w:left="440" w:right="300" w:hanging="216"/>
        <w:spacing w:after="0" w:line="268"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50" w:lineRule="exact"/>
        <w:rPr>
          <w:rFonts w:ascii="Arial" w:cs="Arial" w:eastAsia="Arial" w:hAnsi="Arial"/>
          <w:sz w:val="18"/>
          <w:szCs w:val="18"/>
          <w:color w:val="auto"/>
        </w:rPr>
      </w:pPr>
    </w:p>
    <w:p>
      <w:pPr>
        <w:ind w:left="440" w:hanging="216"/>
        <w:spacing w:after="0" w:line="332"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85"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These transactions may be effected on The Nasdaq Global Market, in the over-the-counter markets or otherwise. Underwriters are not required to engage in any of these activities, or to continue the activities if commenced.</w:t>
      </w:r>
    </w:p>
    <w:p>
      <w:pPr>
        <w:spacing w:after="0" w:line="132"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20"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We may grant underwriters who participate in the distribution of securities an option to purchase additional securities to cover over-allotments, if any, in connection with the distribution.</w:t>
      </w:r>
    </w:p>
    <w:p>
      <w:pPr>
        <w:spacing w:after="0" w:line="132"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Some securities which we may issue under this prospectus may be new issues of securities with no established trading market. Underwriters involved in the public offering and sale of these series of securities may make a market in the securities. However, they are not obligated to make a market and may discontinue market making activity at any time. No assurance can be given as to the liquidity of the trading market for any securities.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Underwriters or agents and their associates may be customers of, engage in transactions with or perform services for us in the ordinary course of business.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the extent required, this prospectus may be amended and supplemented from time to time to describe a specific plan of distribution.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validity of the securities offered by this prospectus will be passed upon by Wilson Sonsini Goodrich &amp; Rosati, Professional Corporation, Austin, Texas.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2008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1260475</wp:posOffset>
            </wp:positionV>
            <wp:extent cx="1852295" cy="3689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22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Active Power, Inc.</w:t>
      </w:r>
    </w:p>
    <w:p>
      <w:pPr>
        <w:spacing w:after="0" w:line="192"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Shares</w:t>
      </w:r>
    </w:p>
    <w:p>
      <w:pPr>
        <w:ind w:left="4980"/>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512445</wp:posOffset>
            </wp:positionV>
            <wp:extent cx="2821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PROSPECTUS SUPPLEMENT</w:t>
      </w:r>
    </w:p>
    <w:p>
      <w:pPr>
        <w:spacing w:after="0" w:line="71" w:lineRule="exact"/>
        <w:rPr>
          <w:sz w:val="20"/>
          <w:szCs w:val="20"/>
          <w:color w:val="auto"/>
        </w:rPr>
      </w:pPr>
    </w:p>
    <w:p>
      <w:pPr>
        <w:jc w:val="center"/>
        <w:ind w:left="4680"/>
        <w:spacing w:after="0"/>
        <w:tabs>
          <w:tab w:leader="none" w:pos="280" w:val="left"/>
        </w:tabs>
        <w:rPr>
          <w:sz w:val="20"/>
          <w:szCs w:val="20"/>
          <w:color w:val="auto"/>
        </w:rPr>
      </w:pPr>
      <w:r>
        <w:rPr>
          <w:rFonts w:ascii="Arial" w:cs="Arial" w:eastAsia="Arial" w:hAnsi="Arial"/>
          <w:sz w:val="22"/>
          <w:szCs w:val="22"/>
          <w:color w:val="auto"/>
        </w:rPr>
        <w:t>February</w:t>
        <w:tab/>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177800</wp:posOffset>
            </wp:positionV>
            <wp:extent cx="28213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1221740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Neither we nor the underwriter have authorized anyone to provide information different from that contained in this prospectus supplement and the accompanying prospectus. When you make a decision about whether to invest in our common stock, you should not rely upon any information other than the information in this prospectus supplement or the accompanying prospectus. Neither the delivery of this prospectus supplement or the accompanying prospectus nor the sale of our common stock means that information contained in this prospectus supplement and the accompanying prospectus is correct after their respective dates. This prospectus supplement and the accompanying prospectus is not an offer to sell or a solicitation of an offer to buy these shares of common stock in any circumstance under which the offer or solicitation is unlawful.</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512"/>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512"/>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2019-12-10T16:19:55Z</dcterms:created>
  <dcterms:modified xsi:type="dcterms:W3CDTF">2019-12-10T16:19:55Z</dcterms:modified>
</cp:coreProperties>
</file>