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jc w:val="center"/>
        <w:spacing w:after="0" w:line="230" w:lineRule="auto"/>
        <w:rPr>
          <w:sz w:val="20"/>
          <w:szCs w:val="20"/>
          <w:color w:val="auto"/>
        </w:rPr>
      </w:pPr>
      <w:r>
        <w:rPr>
          <w:rFonts w:ascii="Arial" w:cs="Arial" w:eastAsia="Arial" w:hAnsi="Arial"/>
          <w:sz w:val="22"/>
          <w:szCs w:val="22"/>
          <w:b w:val="1"/>
          <w:bCs w:val="1"/>
          <w:color w:val="auto"/>
        </w:rPr>
        <w:t>TENDER OFFER STATEMENT UNDER SECTION 14(d)(1) OR 13(e)(1)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jc w:val="center"/>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188595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80" w:type="dxa"/>
            <w:vAlign w:val="bottom"/>
            <w:gridSpan w:val="4"/>
          </w:tcPr>
          <w:p>
            <w:pPr>
              <w:jc w:val="center"/>
              <w:ind w:right="4632"/>
              <w:spacing w:after="0"/>
              <w:rPr>
                <w:sz w:val="20"/>
                <w:szCs w:val="20"/>
                <w:color w:val="auto"/>
              </w:rPr>
            </w:pPr>
            <w:r>
              <w:rPr>
                <w:rFonts w:ascii="Arial" w:cs="Arial" w:eastAsia="Arial" w:hAnsi="Arial"/>
                <w:sz w:val="18"/>
                <w:szCs w:val="18"/>
                <w:b w:val="1"/>
                <w:bCs w:val="1"/>
                <w:color w:val="auto"/>
                <w:w w:val="86"/>
              </w:rPr>
              <w:t>Copies to:</w:t>
            </w:r>
          </w:p>
        </w:tc>
      </w:tr>
      <w:tr>
        <w:trPr>
          <w:trHeight w:val="372"/>
        </w:trPr>
        <w:tc>
          <w:tcPr>
            <w:tcW w:w="4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80" w:type="dxa"/>
            <w:vAlign w:val="bottom"/>
            <w:gridSpan w:val="4"/>
          </w:tcPr>
          <w:p>
            <w:pPr>
              <w:jc w:val="center"/>
              <w:ind w:right="4632"/>
              <w:spacing w:after="0"/>
              <w:rPr>
                <w:sz w:val="20"/>
                <w:szCs w:val="20"/>
                <w:color w:val="auto"/>
              </w:rPr>
            </w:pPr>
            <w:r>
              <w:rPr>
                <w:rFonts w:ascii="Arial" w:cs="Arial" w:eastAsia="Arial" w:hAnsi="Arial"/>
                <w:sz w:val="18"/>
                <w:szCs w:val="18"/>
                <w:color w:val="auto"/>
                <w:w w:val="91"/>
              </w:rPr>
              <w:t>Derek L. Willis, Esq.</w:t>
            </w:r>
          </w:p>
        </w:tc>
      </w:tr>
      <w:tr>
        <w:trPr>
          <w:trHeight w:val="216"/>
        </w:trPr>
        <w:tc>
          <w:tcPr>
            <w:tcW w:w="4100" w:type="dxa"/>
            <w:vAlign w:val="bottom"/>
          </w:tcPr>
          <w:p>
            <w:pPr>
              <w:spacing w:after="0"/>
              <w:rPr>
                <w:sz w:val="18"/>
                <w:szCs w:val="18"/>
                <w:color w:val="auto"/>
              </w:rPr>
            </w:pPr>
          </w:p>
        </w:tc>
        <w:tc>
          <w:tcPr>
            <w:tcW w:w="7320" w:type="dxa"/>
            <w:vAlign w:val="bottom"/>
            <w:gridSpan w:val="5"/>
          </w:tcPr>
          <w:p>
            <w:pPr>
              <w:jc w:val="center"/>
              <w:ind w:right="4012"/>
              <w:spacing w:after="0"/>
              <w:rPr>
                <w:sz w:val="20"/>
                <w:szCs w:val="20"/>
                <w:color w:val="auto"/>
              </w:rPr>
            </w:pPr>
            <w:r>
              <w:rPr>
                <w:rFonts w:ascii="Arial" w:cs="Arial" w:eastAsia="Arial" w:hAnsi="Arial"/>
                <w:sz w:val="18"/>
                <w:szCs w:val="18"/>
                <w:color w:val="auto"/>
                <w:w w:val="91"/>
              </w:rPr>
              <w:t>Wilson Sonsini Goodrich &amp; Rosati</w:t>
            </w:r>
          </w:p>
        </w:tc>
      </w:tr>
      <w:tr>
        <w:trPr>
          <w:trHeight w:val="216"/>
        </w:trPr>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80" w:type="dxa"/>
            <w:vAlign w:val="bottom"/>
            <w:gridSpan w:val="4"/>
          </w:tcPr>
          <w:p>
            <w:pPr>
              <w:jc w:val="center"/>
              <w:ind w:right="4632"/>
              <w:spacing w:after="0"/>
              <w:rPr>
                <w:sz w:val="20"/>
                <w:szCs w:val="20"/>
                <w:color w:val="auto"/>
              </w:rPr>
            </w:pPr>
            <w:r>
              <w:rPr>
                <w:rFonts w:ascii="Arial" w:cs="Arial" w:eastAsia="Arial" w:hAnsi="Arial"/>
                <w:sz w:val="18"/>
                <w:szCs w:val="18"/>
                <w:color w:val="auto"/>
                <w:w w:val="88"/>
              </w:rPr>
              <w:t>Professional Corporation</w:t>
            </w:r>
          </w:p>
        </w:tc>
      </w:tr>
      <w:tr>
        <w:trPr>
          <w:trHeight w:val="216"/>
        </w:trPr>
        <w:tc>
          <w:tcPr>
            <w:tcW w:w="4100" w:type="dxa"/>
            <w:vAlign w:val="bottom"/>
          </w:tcPr>
          <w:p>
            <w:pPr>
              <w:spacing w:after="0"/>
              <w:rPr>
                <w:sz w:val="18"/>
                <w:szCs w:val="18"/>
                <w:color w:val="auto"/>
              </w:rPr>
            </w:pPr>
          </w:p>
        </w:tc>
        <w:tc>
          <w:tcPr>
            <w:tcW w:w="7320" w:type="dxa"/>
            <w:vAlign w:val="bottom"/>
            <w:gridSpan w:val="5"/>
          </w:tcPr>
          <w:p>
            <w:pPr>
              <w:jc w:val="center"/>
              <w:ind w:right="4012"/>
              <w:spacing w:after="0"/>
              <w:rPr>
                <w:sz w:val="20"/>
                <w:szCs w:val="20"/>
                <w:color w:val="auto"/>
              </w:rPr>
            </w:pPr>
            <w:r>
              <w:rPr>
                <w:rFonts w:ascii="Arial" w:cs="Arial" w:eastAsia="Arial" w:hAnsi="Arial"/>
                <w:sz w:val="18"/>
                <w:szCs w:val="18"/>
                <w:color w:val="auto"/>
                <w:w w:val="89"/>
              </w:rPr>
              <w:t>8911 Capital of Texas Highway</w:t>
            </w:r>
          </w:p>
        </w:tc>
      </w:tr>
      <w:tr>
        <w:trPr>
          <w:trHeight w:val="216"/>
        </w:trPr>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80" w:type="dxa"/>
            <w:vAlign w:val="bottom"/>
            <w:gridSpan w:val="4"/>
          </w:tcPr>
          <w:p>
            <w:pPr>
              <w:jc w:val="center"/>
              <w:ind w:right="4652"/>
              <w:spacing w:after="0"/>
              <w:rPr>
                <w:sz w:val="20"/>
                <w:szCs w:val="20"/>
                <w:color w:val="auto"/>
              </w:rPr>
            </w:pPr>
            <w:r>
              <w:rPr>
                <w:rFonts w:ascii="Arial" w:cs="Arial" w:eastAsia="Arial" w:hAnsi="Arial"/>
                <w:sz w:val="18"/>
                <w:szCs w:val="18"/>
                <w:color w:val="auto"/>
                <w:w w:val="86"/>
              </w:rPr>
              <w:t>Westech 360, Suite 3350</w:t>
            </w:r>
          </w:p>
        </w:tc>
      </w:tr>
      <w:tr>
        <w:trPr>
          <w:trHeight w:val="216"/>
        </w:trPr>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80" w:type="dxa"/>
            <w:vAlign w:val="bottom"/>
            <w:gridSpan w:val="4"/>
          </w:tcPr>
          <w:p>
            <w:pPr>
              <w:jc w:val="center"/>
              <w:ind w:right="4632"/>
              <w:spacing w:after="0"/>
              <w:rPr>
                <w:sz w:val="20"/>
                <w:szCs w:val="20"/>
                <w:color w:val="auto"/>
              </w:rPr>
            </w:pPr>
            <w:r>
              <w:rPr>
                <w:rFonts w:ascii="Arial" w:cs="Arial" w:eastAsia="Arial" w:hAnsi="Arial"/>
                <w:sz w:val="18"/>
                <w:szCs w:val="18"/>
                <w:color w:val="auto"/>
                <w:w w:val="87"/>
              </w:rPr>
              <w:t>Austin, Texas 78759</w:t>
            </w:r>
          </w:p>
        </w:tc>
      </w:tr>
      <w:tr>
        <w:trPr>
          <w:trHeight w:val="222"/>
        </w:trPr>
        <w:tc>
          <w:tcPr>
            <w:tcW w:w="4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80" w:type="dxa"/>
            <w:vAlign w:val="bottom"/>
            <w:gridSpan w:val="4"/>
          </w:tcPr>
          <w:p>
            <w:pPr>
              <w:jc w:val="center"/>
              <w:ind w:right="4652"/>
              <w:spacing w:after="0"/>
              <w:rPr>
                <w:sz w:val="20"/>
                <w:szCs w:val="20"/>
                <w:color w:val="auto"/>
              </w:rPr>
            </w:pPr>
            <w:r>
              <w:rPr>
                <w:rFonts w:ascii="Arial" w:cs="Arial" w:eastAsia="Arial" w:hAnsi="Arial"/>
                <w:sz w:val="18"/>
                <w:szCs w:val="18"/>
                <w:color w:val="auto"/>
                <w:w w:val="89"/>
              </w:rPr>
              <w:t>Tel: (512) 338-5400</w:t>
            </w:r>
          </w:p>
        </w:tc>
      </w:tr>
      <w:tr>
        <w:trPr>
          <w:trHeight w:val="313"/>
        </w:trPr>
        <w:tc>
          <w:tcPr>
            <w:tcW w:w="4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r>
      <w:tr>
        <w:trPr>
          <w:trHeight w:val="370"/>
        </w:trPr>
        <w:tc>
          <w:tcPr>
            <w:tcW w:w="4100" w:type="dxa"/>
            <w:vAlign w:val="bottom"/>
          </w:tcPr>
          <w:p>
            <w:pPr>
              <w:spacing w:after="0"/>
              <w:rPr>
                <w:sz w:val="24"/>
                <w:szCs w:val="24"/>
                <w:color w:val="auto"/>
              </w:rPr>
            </w:pPr>
          </w:p>
        </w:tc>
        <w:tc>
          <w:tcPr>
            <w:tcW w:w="7320" w:type="dxa"/>
            <w:vAlign w:val="bottom"/>
            <w:gridSpan w:val="5"/>
          </w:tcPr>
          <w:p>
            <w:pPr>
              <w:jc w:val="center"/>
              <w:ind w:right="39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440"/>
        </w:trPr>
        <w:tc>
          <w:tcPr>
            <w:tcW w:w="4100" w:type="dxa"/>
            <w:vAlign w:val="bottom"/>
            <w:tcBorders>
              <w:bottom w:val="single" w:sz="8" w:color="auto"/>
            </w:tcBorders>
          </w:tcPr>
          <w:p>
            <w:pPr>
              <w:jc w:val="center"/>
              <w:ind w:left="1652"/>
              <w:spacing w:after="0"/>
              <w:rPr>
                <w:sz w:val="20"/>
                <w:szCs w:val="20"/>
                <w:color w:val="auto"/>
              </w:rPr>
            </w:pPr>
            <w:r>
              <w:rPr>
                <w:rFonts w:ascii="Arial" w:cs="Arial" w:eastAsia="Arial" w:hAnsi="Arial"/>
                <w:sz w:val="18"/>
                <w:szCs w:val="18"/>
                <w:b w:val="1"/>
                <w:bCs w:val="1"/>
                <w:color w:val="auto"/>
                <w:w w:val="90"/>
              </w:rPr>
              <w:t>Transaction Valuation*</w:t>
            </w: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center"/>
              <w:ind w:right="652"/>
              <w:spacing w:after="0"/>
              <w:rPr>
                <w:sz w:val="20"/>
                <w:szCs w:val="20"/>
                <w:color w:val="auto"/>
              </w:rPr>
            </w:pPr>
            <w:r>
              <w:rPr>
                <w:rFonts w:ascii="Arial" w:cs="Arial" w:eastAsia="Arial" w:hAnsi="Arial"/>
                <w:sz w:val="18"/>
                <w:szCs w:val="18"/>
                <w:b w:val="1"/>
                <w:bCs w:val="1"/>
                <w:color w:val="auto"/>
                <w:w w:val="92"/>
              </w:rPr>
              <w:t>Amount of Filing Fee**</w:t>
            </w:r>
          </w:p>
        </w:tc>
      </w:tr>
      <w:tr>
        <w:trPr>
          <w:trHeight w:val="216"/>
        </w:trPr>
        <w:tc>
          <w:tcPr>
            <w:tcW w:w="4100" w:type="dxa"/>
            <w:vAlign w:val="bottom"/>
          </w:tcPr>
          <w:p>
            <w:pPr>
              <w:jc w:val="right"/>
              <w:ind w:right="672"/>
              <w:spacing w:after="0"/>
              <w:rPr>
                <w:sz w:val="20"/>
                <w:szCs w:val="20"/>
                <w:color w:val="auto"/>
              </w:rPr>
            </w:pPr>
            <w:r>
              <w:rPr>
                <w:rFonts w:ascii="Arial" w:cs="Arial" w:eastAsia="Arial" w:hAnsi="Arial"/>
                <w:sz w:val="18"/>
                <w:szCs w:val="18"/>
                <w:b w:val="1"/>
                <w:bCs w:val="1"/>
                <w:color w:val="auto"/>
              </w:rPr>
              <w:t>$ 1,896,928</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gridSpan w:val="2"/>
          </w:tcPr>
          <w:p>
            <w:pPr>
              <w:jc w:val="right"/>
              <w:ind w:right="2252"/>
              <w:spacing w:after="0"/>
              <w:rPr>
                <w:sz w:val="20"/>
                <w:szCs w:val="20"/>
                <w:color w:val="auto"/>
              </w:rPr>
            </w:pPr>
            <w:r>
              <w:rPr>
                <w:rFonts w:ascii="Arial" w:cs="Arial" w:eastAsia="Arial" w:hAnsi="Arial"/>
                <w:sz w:val="18"/>
                <w:szCs w:val="18"/>
                <w:b w:val="1"/>
                <w:bCs w:val="1"/>
                <w:color w:val="auto"/>
              </w:rPr>
              <w:t>$ 58.24***</w:t>
            </w:r>
          </w:p>
        </w:tc>
      </w:tr>
    </w:tbl>
    <w:p>
      <w:pPr>
        <w:spacing w:after="0" w:line="18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purposes of calculating the Amount of Filing Fee. The calculation of the Transaction Valuation assumes that all options to purchase</w:t>
      </w:r>
    </w:p>
    <w:p>
      <w:pPr>
        <w:spacing w:after="0" w:line="50" w:lineRule="exact"/>
        <w:rPr>
          <w:sz w:val="24"/>
          <w:szCs w:val="24"/>
          <w:color w:val="auto"/>
        </w:rPr>
      </w:pPr>
    </w:p>
    <w:p>
      <w:pPr>
        <w:ind w:left="460" w:right="220"/>
        <w:spacing w:after="0" w:line="250" w:lineRule="auto"/>
        <w:rPr>
          <w:sz w:val="20"/>
          <w:szCs w:val="20"/>
          <w:color w:val="auto"/>
        </w:rPr>
      </w:pPr>
      <w:r>
        <w:rPr>
          <w:rFonts w:ascii="Arial" w:cs="Arial" w:eastAsia="Arial" w:hAnsi="Arial"/>
          <w:sz w:val="18"/>
          <w:szCs w:val="18"/>
          <w:color w:val="auto"/>
        </w:rPr>
        <w:t>the Issuer’s common stock that are eligible for the offer will be repriced pursuant to this offer. These options have an aggregate value of $1,896,928 as of November 9, 2007, calculated based on a modified Black-Scholes option pricing model.</w:t>
      </w:r>
    </w:p>
    <w:p>
      <w:pPr>
        <w:spacing w:after="0" w:line="1" w:lineRule="exact"/>
        <w:rPr>
          <w:sz w:val="24"/>
          <w:szCs w:val="24"/>
          <w:color w:val="auto"/>
        </w:rPr>
      </w:pPr>
    </w:p>
    <w:p>
      <w:pPr>
        <w:ind w:left="460" w:right="6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$30.70 for each $1,000,000 of the value of the transaction.</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previously (see below).</w:t>
      </w:r>
    </w:p>
    <w:p>
      <w:pPr>
        <w:spacing w:after="0" w:line="84" w:lineRule="exact"/>
        <w:rPr>
          <w:sz w:val="24"/>
          <w:szCs w:val="24"/>
          <w:color w:val="auto"/>
        </w:rPr>
      </w:pPr>
    </w:p>
    <w:p>
      <w:pPr>
        <w:ind w:left="460" w:right="540" w:hanging="452"/>
        <w:spacing w:after="0" w:line="268" w:lineRule="auto"/>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09" w:right="239" w:bottom="1440" w:gutter="0" w:footer="0" w:header="0"/>
        </w:sectPr>
      </w:pPr>
    </w:p>
    <w:p>
      <w:pPr>
        <w:spacing w:after="0" w:line="5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Amount Previously Paid: $58.24</w:t>
      </w:r>
    </w:p>
    <w:p>
      <w:pPr>
        <w:spacing w:after="0" w:line="1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Form or Registration No.: 005-59961</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Active Power, Inc.</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Date Filed: November 9, 2007</w:t>
      </w:r>
    </w:p>
    <w:p>
      <w:pPr>
        <w:spacing w:after="0" w:line="107" w:lineRule="exact"/>
        <w:rPr>
          <w:sz w:val="24"/>
          <w:szCs w:val="24"/>
          <w:color w:val="auto"/>
        </w:rPr>
      </w:pPr>
    </w:p>
    <w:p>
      <w:pPr>
        <w:sectPr>
          <w:pgSz w:w="11900" w:h="16838" w:orient="portrait"/>
          <w:cols w:equalWidth="0" w:num="2">
            <w:col w:w="5240" w:space="720"/>
            <w:col w:w="5460"/>
          </w:cols>
          <w:pgMar w:left="240" w:top="409" w:right="239" w:bottom="1440" w:gutter="0" w:footer="0" w:header="0"/>
          <w:type w:val="continuous"/>
        </w:sect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5" w:lineRule="exact"/>
        <w:rPr>
          <w:sz w:val="24"/>
          <w:szCs w:val="24"/>
          <w:color w:val="auto"/>
        </w:rPr>
      </w:pPr>
    </w:p>
    <w:p>
      <w:pPr>
        <w:ind w:left="460" w:right="7320" w:hanging="6"/>
        <w:spacing w:after="0" w:line="267" w:lineRule="exact"/>
        <w:tabs>
          <w:tab w:leader="none" w:pos="906"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pacing w:after="0" w:line="55" w:lineRule="exact"/>
        <w:rPr>
          <w:rFonts w:ascii="MS PGothic" w:cs="MS PGothic" w:eastAsia="MS PGothic" w:hAnsi="MS PGothic"/>
          <w:sz w:val="16"/>
          <w:szCs w:val="16"/>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Introductory Statement</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This Amendment No. 1 amends and supplements the Tender Offer Statement on Schedule TO (the “Schedule TO”) filed by Active Power, Inc., a Delaware corporation (“Active Power” or the “Company”), with the Securities and Exchange Commission on November 9, 2007 relating to the offer by the Company (the “Offer”) to amend certain outstanding options and receive a cash payment as set forth under the Offer to Amend the Exercise Price of Certain Options dated November 9, 2007 (the “Offer to Amend”), which was filed as Exhibit (a)(1)(A) to the Schedule TO and is incorporated herein by reference, and is the final amendment relating to such offer. Capitalized terms used and not defined herein shall have the meanings assigned to such terms in the Offer to Amend.</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Offer is being made upon the terms and subject to the conditions set forth in the Offer to Amend, which, as may be amended or supplemented from time to time, constitutes the Offer, and which was filed as Exhibit (a)(1)(A) to the Schedule TO. This Amendment is intended to satisfy the reporting requirements of Rule 13e-4(c)(3) promulgated under the Securities Exchange Act of 1934,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TO is hereby amended by adding the following sentence:</w:t>
      </w:r>
    </w:p>
    <w:p>
      <w:pPr>
        <w:spacing w:after="0" w:line="171" w:lineRule="exact"/>
        <w:rPr>
          <w:sz w:val="20"/>
          <w:szCs w:val="20"/>
          <w:color w:val="auto"/>
        </w:rPr>
      </w:pPr>
    </w:p>
    <w:p>
      <w:pPr>
        <w:ind w:left="700" w:right="80"/>
        <w:spacing w:after="0" w:line="298" w:lineRule="auto"/>
        <w:rPr>
          <w:sz w:val="20"/>
          <w:szCs w:val="20"/>
          <w:color w:val="auto"/>
        </w:rPr>
      </w:pPr>
      <w:r>
        <w:rPr>
          <w:rFonts w:ascii="Arial" w:cs="Arial" w:eastAsia="Arial" w:hAnsi="Arial"/>
          <w:sz w:val="16"/>
          <w:szCs w:val="16"/>
          <w:color w:val="auto"/>
        </w:rPr>
        <w:t>The Offer expired at 5:00 p.m., Central Time, on December 11, 2007. Pursuant to the terms of the Offer, the Company has accepted for amendment options to purchase an aggregate of 835,504 shares of the Company’s common stock. In connection with the surrender of those options for amendment, the Company has amended those options effective immediately following the expiration of the Offer and will issue promises to make cash payments to eligible employees whose options have been amended in the aggregate amount of $29,031.63 in accordance with the terms of the Offer.</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2007</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(a)(1)(A)*</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Amend the Exercise Price of Certain Options, dated November 9, 2007</w:t>
            </w:r>
          </w:p>
        </w:tc>
        <w:tc>
          <w:tcPr>
            <w:tcW w:w="0" w:type="dxa"/>
            <w:vAlign w:val="bottom"/>
          </w:tcPr>
          <w:p>
            <w:pPr>
              <w:spacing w:after="0"/>
              <w:rPr>
                <w:sz w:val="1"/>
                <w:szCs w:val="1"/>
                <w:color w:val="auto"/>
              </w:rPr>
            </w:pPr>
          </w:p>
        </w:tc>
      </w:tr>
      <w:tr>
        <w:trPr>
          <w:trHeight w:val="316"/>
        </w:trPr>
        <w:tc>
          <w:tcPr>
            <w:tcW w:w="1040" w:type="dxa"/>
            <w:vAlign w:val="bottom"/>
          </w:tcPr>
          <w:p>
            <w:pPr>
              <w:spacing w:after="0"/>
              <w:rPr>
                <w:sz w:val="20"/>
                <w:szCs w:val="20"/>
                <w:color w:val="auto"/>
              </w:rPr>
            </w:pPr>
            <w:r>
              <w:rPr>
                <w:rFonts w:ascii="Arial" w:cs="Arial" w:eastAsia="Arial" w:hAnsi="Arial"/>
                <w:sz w:val="18"/>
                <w:szCs w:val="18"/>
                <w:color w:val="auto"/>
              </w:rPr>
              <w:t>(a)(1)(B)*</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to all eligible employees from James Clishem, dated November 9, 2007</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(a)(1)(C)*</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(a)(1)(D)*</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relating to addendum and form of addendum</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(a)(1)(E)*</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(a)(1)(F)*</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(a)(1)(G)*</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amendment(s) to stock option agreements and promise to make cash payment under the 2000 Stock Incentive Plan, as amended and</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(a)(1)(H)(i)*</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stock option agreement under Active Power, Inc. 2000 Stock Incentive Plan</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(a)(1)(H)(ii)</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Active Power, Inc. 2000 Stock Incentive Plan, incorporated by reference to Exhibit 10.2 to Active Power’s Registration Statement on Form S-1</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 File No. 333-36946)</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60" w:hanging="115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2019-12-14T18:13:51Z</dcterms:created>
  <dcterms:modified xsi:type="dcterms:W3CDTF">2019-12-14T18:13:51Z</dcterms:modified>
</cp:coreProperties>
</file>