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351-1_3seq1.xml.htm"/>
      <w:bookmarkStart w:id="1" w:name="kstm2620351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RJDT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 SUITE 2200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Ridgepost Capital, Inc.</w:t>
              </w:r>
            </w:hyperlink>
            <w:r>
              <w:rPr/>
              <w:t xml:space="preserve"> [ </w:t>
            </w:r>
            <w:r>
              <w:rPr>
                <w:rFonts w:ascii="Times;serif" w:hAnsi="Times;serif"/>
                <w:color w:val="0000FF"/>
                <w:sz w:val="24"/>
                <w:shd w:fill="FFFFFF" w:val="clear"/>
              </w:rPr>
              <w:t>RPC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 par value $0.001 per share</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10,262,278</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A Units are, subject to certain conditions, exchangeable into shares of Class A Common Stock on a one-for-one basis, pursuant to that certain Exchange Agreement entered into on August 25, 2022, by and among Ridgepost LLC, Ridgepost Capital, Inc., and the other signatory parties thereto, to which RJDT Holdings, L.P. became a party via joinder on June 22,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is being filed late due to an inadvertent administrative delay. This late filing is not due to any error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 Ladd, Chief Executive Officer of the General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182" TargetMode="External"/><Relationship Id="rId3" Type="http://schemas.openxmlformats.org/officeDocument/2006/relationships/hyperlink" Target="http://www.sec.gov/cgi-bin/browse-edgar?action=getcompany&amp;CIK=00018419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505</Words>
  <Characters>2697</Characters>
  <CharactersWithSpaces>3155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