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5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May 14,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215900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(Commission File Number)</w:t>
      </w:r>
    </w:p>
    <w:p>
      <w:pPr>
        <w:sectPr>
          <w:pgSz w:w="11900" w:h="16838" w:orient="portrait"/>
          <w:cols w:equalWidth="0" w:num="1">
            <w:col w:w="10900"/>
          </w:cols>
          <w:pgMar w:left="240" w:top="395" w:right="759" w:bottom="1440" w:gutter="0" w:footer="0" w:header="0"/>
        </w:sectPr>
      </w:pPr>
    </w:p>
    <w:p>
      <w:pPr>
        <w:spacing w:after="0" w:line="3"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74-2961657</w:t>
      </w:r>
    </w:p>
    <w:p>
      <w:pPr>
        <w:spacing w:after="0" w:line="19" w:lineRule="exact"/>
        <w:rPr>
          <w:sz w:val="24"/>
          <w:szCs w:val="24"/>
          <w:color w:val="auto"/>
        </w:rPr>
      </w:pPr>
    </w:p>
    <w:p>
      <w:pPr>
        <w:sectPr>
          <w:pgSz w:w="11900" w:h="16838" w:orient="portrait"/>
          <w:cols w:equalWidth="0" w:num="2">
            <w:col w:w="7540" w:space="720"/>
            <w:col w:w="2640"/>
          </w:cols>
          <w:pgMar w:left="240" w:top="395" w:right="759" w:bottom="1440" w:gutter="0" w:footer="0" w:header="0"/>
          <w:type w:val="continuous"/>
        </w:sectPr>
      </w:pPr>
    </w:p>
    <w:p>
      <w:pPr>
        <w:spacing w:after="0" w:line="10"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(State of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4"/>
          <w:szCs w:val="14"/>
          <w:b w:val="1"/>
          <w:bCs w:val="1"/>
          <w:color w:val="auto"/>
        </w:rPr>
        <w:t>(IRS Employer</w:t>
      </w:r>
    </w:p>
    <w:p>
      <w:pPr>
        <w:jc w:val="center"/>
        <w:ind w:right="168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440" w:space="720"/>
            <w:col w:w="2740"/>
          </w:cols>
          <w:pgMar w:left="240" w:top="395" w:right="759" w:bottom="1440" w:gutter="0" w:footer="0" w:header="0"/>
          <w:type w:val="continuous"/>
        </w:sectPr>
      </w:pPr>
    </w:p>
    <w:p>
      <w:pPr>
        <w:spacing w:after="0" w:line="241"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440"/>
          </w:cols>
          <w:pgMar w:left="240" w:top="395" w:right="7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520"/>
          </w:cols>
          <w:pgMar w:left="240" w:top="395" w:right="759" w:bottom="1440" w:gutter="0" w:footer="0" w:header="0"/>
          <w:type w:val="continuous"/>
        </w:sectPr>
      </w:pPr>
    </w:p>
    <w:p>
      <w:pPr>
        <w:jc w:val="center"/>
        <w:ind w:right="-51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0900"/>
          </w:cols>
          <w:pgMar w:left="240" w:top="395" w:right="759" w:bottom="1440" w:gutter="0" w:footer="0" w:header="0"/>
          <w:type w:val="continuous"/>
        </w:sectPr>
      </w:pPr>
    </w:p>
    <w:p>
      <w:pPr>
        <w:spacing w:after="0" w:line="166"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95" w:right="7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May 14, 2007, Active Power, Inc. issued a press release reporting its preliminary results of operations for its fiscal quarter ended March 31, 2007. A copy of the press release is furnished herewith as Exhibit 99.1.</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exhibits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May 14, 2007, the Company issued a press release reporting that the Company has now completed the investigation into its historical stock option granting practices for the period from the Company’s initial public offering in August 2000 through the present. A copy of the press release is furnished herewith as Exhibit 99.2. The review was initiated at the request of the Board of Directors and continued with the assistance of legal and accounting advisors under the supervision of a special committee of the Board of Directors comprised of independent directors (the “Special Committee”). The Company’s Board of Directors has adopted all of the recommendations of the Special Committee that conducted this investigation. A comprehensive report of the Special Committee is included in the Annual Report on Form 10-K that was filed by the Company today and a summary of such report is included in the press release attached hereto as Exhibit 99.2.</w:t>
      </w:r>
    </w:p>
    <w:p>
      <w:pPr>
        <w:spacing w:after="0" w:line="14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exhibits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720" w:type="dxa"/>
            <w:vAlign w:val="bottom"/>
          </w:tcPr>
          <w:p>
            <w:pPr>
              <w:jc w:val="right"/>
              <w:ind w:right="332"/>
              <w:spacing w:after="0"/>
              <w:rPr>
                <w:sz w:val="20"/>
                <w:szCs w:val="20"/>
                <w:color w:val="auto"/>
              </w:rPr>
            </w:pPr>
            <w:r>
              <w:rPr>
                <w:rFonts w:ascii="Arial" w:cs="Arial" w:eastAsia="Arial" w:hAnsi="Arial"/>
                <w:sz w:val="18"/>
                <w:szCs w:val="18"/>
                <w:color w:val="auto"/>
                <w:w w:val="79"/>
              </w:rPr>
              <w:t>99.1</w:t>
            </w:r>
          </w:p>
        </w:tc>
        <w:tc>
          <w:tcPr>
            <w:tcW w:w="4440" w:type="dxa"/>
            <w:vAlign w:val="bottom"/>
          </w:tcPr>
          <w:p>
            <w:pPr>
              <w:ind w:left="400"/>
              <w:spacing w:after="0"/>
              <w:rPr>
                <w:sz w:val="20"/>
                <w:szCs w:val="20"/>
                <w:color w:val="auto"/>
              </w:rPr>
            </w:pPr>
            <w:r>
              <w:rPr>
                <w:rFonts w:ascii="Arial" w:cs="Arial" w:eastAsia="Arial" w:hAnsi="Arial"/>
                <w:sz w:val="18"/>
                <w:szCs w:val="18"/>
                <w:color w:val="auto"/>
                <w:w w:val="89"/>
              </w:rPr>
              <w:t>Press Release of Active Power, Inc. dated May 14, 2007</w:t>
            </w:r>
          </w:p>
        </w:tc>
      </w:tr>
      <w:tr>
        <w:trPr>
          <w:trHeight w:val="222"/>
        </w:trPr>
        <w:tc>
          <w:tcPr>
            <w:tcW w:w="720" w:type="dxa"/>
            <w:vAlign w:val="bottom"/>
          </w:tcPr>
          <w:p>
            <w:pPr>
              <w:jc w:val="right"/>
              <w:ind w:right="332"/>
              <w:spacing w:after="0"/>
              <w:rPr>
                <w:sz w:val="20"/>
                <w:szCs w:val="20"/>
                <w:color w:val="auto"/>
              </w:rPr>
            </w:pPr>
            <w:r>
              <w:rPr>
                <w:rFonts w:ascii="Arial" w:cs="Arial" w:eastAsia="Arial" w:hAnsi="Arial"/>
                <w:sz w:val="18"/>
                <w:szCs w:val="18"/>
                <w:color w:val="auto"/>
                <w:w w:val="79"/>
              </w:rPr>
              <w:t>99.2</w:t>
            </w:r>
          </w:p>
        </w:tc>
        <w:tc>
          <w:tcPr>
            <w:tcW w:w="4440" w:type="dxa"/>
            <w:vAlign w:val="bottom"/>
          </w:tcPr>
          <w:p>
            <w:pPr>
              <w:ind w:left="400"/>
              <w:spacing w:after="0"/>
              <w:rPr>
                <w:sz w:val="20"/>
                <w:szCs w:val="20"/>
                <w:color w:val="auto"/>
              </w:rPr>
            </w:pPr>
            <w:r>
              <w:rPr>
                <w:rFonts w:ascii="Arial" w:cs="Arial" w:eastAsia="Arial" w:hAnsi="Arial"/>
                <w:sz w:val="18"/>
                <w:szCs w:val="18"/>
                <w:color w:val="auto"/>
                <w:w w:val="89"/>
              </w:rPr>
              <w:t>Press Release of Active Power, Inc. dated May 14, 2007</w:t>
            </w:r>
          </w:p>
        </w:tc>
      </w:tr>
      <w:tr>
        <w:trPr>
          <w:trHeight w:val="365"/>
        </w:trPr>
        <w:tc>
          <w:tcPr>
            <w:tcW w:w="720" w:type="dxa"/>
            <w:vAlign w:val="bottom"/>
          </w:tcPr>
          <w:p>
            <w:pPr>
              <w:spacing w:after="0"/>
              <w:rPr>
                <w:sz w:val="24"/>
                <w:szCs w:val="24"/>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7840" w:type="dxa"/>
            <w:vAlign w:val="bottom"/>
            <w:gridSpan w:val="2"/>
          </w:tcPr>
          <w:p>
            <w:pPr>
              <w:ind w:left="2460"/>
              <w:spacing w:after="0"/>
              <w:rPr>
                <w:sz w:val="20"/>
                <w:szCs w:val="20"/>
                <w:color w:val="auto"/>
              </w:rPr>
            </w:pPr>
            <w:r>
              <w:rPr>
                <w:rFonts w:ascii="Arial" w:cs="Arial" w:eastAsia="Arial" w:hAnsi="Arial"/>
                <w:sz w:val="18"/>
                <w:szCs w:val="18"/>
                <w:b w:val="1"/>
                <w:bCs w:val="1"/>
                <w:color w:val="auto"/>
              </w:rPr>
              <w:t>ACTIVE POWER, INC.</w:t>
            </w:r>
          </w:p>
        </w:tc>
      </w:tr>
      <w:tr>
        <w:trPr>
          <w:trHeight w:val="649"/>
        </w:trPr>
        <w:tc>
          <w:tcPr>
            <w:tcW w:w="3580" w:type="dxa"/>
            <w:vAlign w:val="bottom"/>
          </w:tcPr>
          <w:p>
            <w:pPr>
              <w:spacing w:after="0"/>
              <w:rPr>
                <w:sz w:val="20"/>
                <w:szCs w:val="20"/>
                <w:color w:val="auto"/>
              </w:rPr>
            </w:pPr>
            <w:r>
              <w:rPr>
                <w:rFonts w:ascii="Arial" w:cs="Arial" w:eastAsia="Arial" w:hAnsi="Arial"/>
                <w:sz w:val="18"/>
                <w:szCs w:val="18"/>
                <w:color w:val="auto"/>
              </w:rPr>
              <w:t>Dated: May 14, 2007</w:t>
            </w:r>
          </w:p>
        </w:tc>
        <w:tc>
          <w:tcPr>
            <w:tcW w:w="7840" w:type="dxa"/>
            <w:vAlign w:val="bottom"/>
            <w:gridSpan w:val="2"/>
          </w:tcPr>
          <w:p>
            <w:pPr>
              <w:ind w:left="2460"/>
              <w:spacing w:after="0"/>
              <w:rPr>
                <w:sz w:val="20"/>
                <w:szCs w:val="20"/>
                <w:color w:val="auto"/>
              </w:rPr>
            </w:pPr>
            <w:r>
              <w:rPr>
                <w:rFonts w:ascii="Arial" w:cs="Arial" w:eastAsia="Arial" w:hAnsi="Arial"/>
                <w:sz w:val="18"/>
                <w:szCs w:val="18"/>
                <w:color w:val="auto"/>
              </w:rPr>
              <w:t>By: /s/ John K. Penver</w:t>
            </w:r>
          </w:p>
        </w:tc>
      </w:tr>
      <w:tr>
        <w:trPr>
          <w:trHeight w:val="202"/>
        </w:trPr>
        <w:tc>
          <w:tcPr>
            <w:tcW w:w="35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K. Penver</w:t>
            </w:r>
          </w:p>
        </w:tc>
      </w:tr>
      <w:tr>
        <w:trPr>
          <w:trHeight w:val="222"/>
        </w:trPr>
        <w:tc>
          <w:tcPr>
            <w:tcW w:w="35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580" w:type="dxa"/>
            <w:vAlign w:val="bottom"/>
          </w:tcPr>
          <w:p>
            <w:pPr>
              <w:spacing w:after="0"/>
              <w:rPr>
                <w:sz w:val="24"/>
                <w:szCs w:val="24"/>
                <w:color w:val="auto"/>
              </w:rPr>
            </w:pPr>
          </w:p>
        </w:tc>
        <w:tc>
          <w:tcPr>
            <w:tcW w:w="2720" w:type="dxa"/>
            <w:vAlign w:val="bottom"/>
          </w:tcPr>
          <w:p>
            <w:pPr>
              <w:jc w:val="right"/>
              <w:ind w:right="452"/>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jc w:val="center"/>
              <w:ind w:right="1337"/>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6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of Active Power, Inc. dated May 14, 2007</w:t>
            </w:r>
          </w:p>
        </w:tc>
      </w:tr>
      <w:tr>
        <w:trPr>
          <w:trHeight w:val="222"/>
        </w:trPr>
        <w:tc>
          <w:tcPr>
            <w:tcW w:w="6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of Active Power, Inc. dated May 14, 2007</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7"/>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8315"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8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FIRST QUARTER 2007 RESULTS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AUSTIN, Texas (May 14, 2007) — Active Power, Inc. (NASDAQ: ACPW) today announced results for its first quarter ended March 31, 2007. Revenue for the first quarter of fiscal 2007 was $6.0 million, up 7% from the same period last year and down 28% from the previous quarter.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loss for the first quarter of 2007 was $6.4 million, or 13 cents per share, compared to a net loss of $6.3 million, or 13 cents per share, for the same period last year and a net loss of $4.2 million, or 9 cents per share in the previous quarter. Included in the current period net loss were expenses of $1.5 million, or 3 cents per share, in connection with the review of our historical stock option granting practices. Results from the fourth quarter of 2006 included a $1.78 million gain from settlement of outstanding litigation.</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the quarter, the Company reported a gross profit margin of 6% compared to -3% in the same period last year and 1% in the previous quarter. The increase in gross profit margin in the current quarter was attributable to improved margins on direct sales transactions compared to the previous periods. The improved margin was also influenced by the higher level of direct sales which were 76% of our total sales for the quarter, compared to 66% of our sales in the prior quarter, as well as our recent price increase. We believe that this illustrates the potential variability in our margins that is expected to continue in the short term due to variations in product, sales channel, and geography mix until we build a larger and more diversified portfolio of client transactions per quarter. The improvement in margin over last year reflects the positive effects of our efforts to broaden sales channels in multiple geographies to include direct and indirect sales, enter new and premium markets, and accelerate our growth in services. We believe that the benefit of selling bundled solutions to clients is creating real sales momentum and improves the value of what Active Power delivers to our clients.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Cash and investments usage for the quarter was $3.7 million, compared to $5.0 million for the same period last year and $6.0 million for the previous quarter.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and investments at March 31 2007 were $17.0 million.</w:t>
      </w:r>
    </w:p>
    <w:p>
      <w:pPr>
        <w:spacing w:after="0" w:line="16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 the first quarter we continued to see positive growth from our direct sales and service business, increasing the proportion of our revenues from our direct channel by 10% from the prior quarter. Our service revenues increased by 33% from the previous quarter,” said Jim Clishem, President and CEO of Active Power. “I am pleased that our efforts to shape and grow the business in line with our strategy have yielded continued fundamental improvements to our business despite the distraction of our voluntary stock option review. Overall financial results excluding the impact of this review continue to show strength from prior periods. Our flywheel based UPS products have a number of significant benefits for customers due to higher energy efficiency, reduced footprint requirements and green product benefits, all things that conventional UPS products do not bring to the customer. Our focused marketing and sales efforts that highlight these product attributes are starting to resonate with the market. Our products are perfectly positioned to meet the needs and demands of today’s market, our energy efficient, rugged, highly reliable, and economically green solutions are getting noticed. We are confident that our products will continue to gain not only awareness but attention and will win market share on their benefits going forward.”</w:t>
      </w:r>
    </w:p>
    <w:p>
      <w:pPr>
        <w:sectPr>
          <w:pgSz w:w="11900" w:h="16838" w:orient="portrait"/>
          <w:cols w:equalWidth="0" w:num="1">
            <w:col w:w="11420"/>
          </w:cols>
          <w:pgMar w:left="240" w:top="125" w:right="239" w:bottom="1440" w:gutter="0" w:footer="0" w:header="0"/>
        </w:sectPr>
      </w:pPr>
    </w:p>
    <w:bookmarkStart w:id="5" w:name="page6"/>
    <w:bookmarkEnd w:id="5"/>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service business continues to grow and was 38% higher than the same period in 2006. This will continue to be an important part of our growth strategy to deliver value-based power solutions which enable annuity-based service engagements with our clients for many years to 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Business Highlights</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sales accounted for 76% of total Q1 sales, while indirect channels contributed 24%</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revenues increased by 38% from the prior year levels, reflecting the benefits of establishing a direct sales model. Direct sales afford us the ability to provide pre and post sales support to end user customers and help develop the Active Power brand.</w:t>
      </w:r>
    </w:p>
    <w:p>
      <w:pPr>
        <w:spacing w:after="0" w:line="5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strong sales of our MegaWatt-Class systems revenues, including repeat sales during the quarter to an Asian airport customer for 2 additional MegaWatt UPS units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megawatt sale to a US based plastics manufacturing company.</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Jim Murphy as Vice President of Sales – EMEA. Jim is an accomplished critical power systems industry executive with over 20 years of sales experience in the UK and European markets. He will be responsible for the further development of the company’s sales activities in EMEA and the Asia-Pacific regions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equipment to eight countries in Q1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Compared to prior year, America’s Sales Team grew 34%, International Sales Team, 55%</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previously announced that it has substantially completed the voluntary and independent review of its historical stock option grants and related procedures. The company filed its 2006 financial statements and restated historical financial statements with the SEC on May 14, 2007. We anticipate that we will continue to incur significant legal, professional and other expenses as a result of our investigation of historical stock granting procedures, including potentially significant expenses for tax obligations for employees that that the Board determined were not significantly involved in the problematic practices identified in the investigation and did not know nor should have known that the practices were contrary to our stock option plan, and possible indemnification of costs to certain former directors and officers of the Company in the event of further legal proceedings.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Active Power expects Q2 2007 revenue to be approximately $7 to $8 million and Q2 earnings per share to be a loss of approximately 8 to 10 cents excluding any costs associated with the stock option review. We expect cash and investments usage in Q2 to increase and be in the range of $5.5 to $6.5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The Company will host a conference call today, Monday, May 14, 2007, at 11:00 a.m. Eastern Time, to further review the Company’s fiscal Q1 results. A replay of the webcast will be available until May 28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Investors may access the live broadcast and replay through our web site: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1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Active Power, Inc. (NASDAQ:ACPW) provides efficient, reliable and green power quality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over 40 countries. Active Power recently introduced CoolAir, the only solution that provides both backup power and backup cooling. With expert power systems engineers and worldwide service and support, Active Power provides turnkey solutions that ensure organizations have the power to perform. For more information, please visit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Statements in this release regarding expected future results are forward looking statements that are subject to the Safe Harbor provisions created by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the potential for significant losses to continue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20"/>
          <w:szCs w:val="20"/>
          <w:color w:val="auto"/>
          <w:vertAlign w:val="superscript"/>
        </w:rPr>
        <w:t>®</w:t>
      </w:r>
      <w:r>
        <w:rPr>
          <w:rFonts w:ascii="Arial" w:cs="Arial" w:eastAsia="Arial" w:hAnsi="Arial"/>
          <w:sz w:val="16"/>
          <w:szCs w:val="16"/>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the volatility of our stock price regardless of our actual financial performance; further expenses and adjustments that may be required in connection with our independent review of our historical stock option granting procedures; and other factors detailed in our filings with the Securities and Exchange Commission. Readers are cautioned not to place undue reliance upon these forward looking statements, which speak only as of the date hereof, and we undertake no obligation to update these forward looking statements to reflect subsequent events or circumstances. The inclusion of any statement in this release does not constitute an admission by the company or any other person that the events or circumstances described in such statement are material.</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the Active Power logo and CleanSource are registered trademarks of, and CoolAir is a trademark of Active Power, Inc. All other trademarks are the properties of their respective companies.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Active Power Investor Contact:</w:t>
            </w:r>
          </w:p>
        </w:tc>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88"/>
              </w:rPr>
              <w:t>Active Power Media Contact:</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John Penver</w:t>
            </w:r>
          </w:p>
        </w:tc>
        <w:tc>
          <w:tcPr>
            <w:tcW w:w="2200" w:type="dxa"/>
            <w:vAlign w:val="bottom"/>
            <w:gridSpan w:val="2"/>
          </w:tcPr>
          <w:p>
            <w:pPr>
              <w:spacing w:after="0"/>
              <w:rPr>
                <w:sz w:val="20"/>
                <w:szCs w:val="20"/>
                <w:color w:val="auto"/>
              </w:rPr>
            </w:pPr>
            <w:r>
              <w:rPr>
                <w:rFonts w:ascii="Arial" w:cs="Arial" w:eastAsia="Arial" w:hAnsi="Arial"/>
                <w:sz w:val="18"/>
                <w:szCs w:val="18"/>
                <w:color w:val="auto"/>
              </w:rPr>
              <w:t>Lee Higgins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00" w:type="dxa"/>
            <w:vAlign w:val="bottom"/>
            <w:gridSpan w:val="2"/>
          </w:tcPr>
          <w:p>
            <w:pPr>
              <w:spacing w:after="0"/>
              <w:rPr>
                <w:sz w:val="20"/>
                <w:szCs w:val="20"/>
                <w:color w:val="auto"/>
              </w:rPr>
            </w:pPr>
            <w:r>
              <w:rPr>
                <w:rFonts w:ascii="Arial" w:cs="Arial" w:eastAsia="Arial" w:hAnsi="Arial"/>
                <w:sz w:val="18"/>
                <w:szCs w:val="18"/>
                <w:color w:val="auto"/>
              </w:rPr>
              <w:t>Active Power</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512.744.9234</w:t>
            </w:r>
          </w:p>
        </w:tc>
        <w:tc>
          <w:tcPr>
            <w:tcW w:w="40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512.744.9488</w:t>
            </w:r>
          </w:p>
        </w:tc>
        <w:tc>
          <w:tcPr>
            <w:tcW w:w="280" w:type="dxa"/>
            <w:vAlign w:val="bottom"/>
          </w:tcPr>
          <w:p>
            <w:pPr>
              <w:spacing w:after="0"/>
              <w:rPr>
                <w:sz w:val="18"/>
                <w:szCs w:val="18"/>
                <w:color w:val="auto"/>
              </w:rPr>
            </w:pPr>
          </w:p>
        </w:tc>
      </w:tr>
      <w:tr>
        <w:trPr>
          <w:trHeight w:val="184"/>
        </w:trPr>
        <w:tc>
          <w:tcPr>
            <w:tcW w:w="19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jpenver@activepower.com</w:t>
            </w:r>
          </w:p>
        </w:tc>
        <w:tc>
          <w:tcPr>
            <w:tcW w:w="4060" w:type="dxa"/>
            <w:vAlign w:val="bottom"/>
          </w:tcPr>
          <w:p>
            <w:pPr>
              <w:spacing w:after="0"/>
              <w:rPr>
                <w:sz w:val="15"/>
                <w:szCs w:val="15"/>
                <w:color w:val="auto"/>
              </w:rPr>
            </w:pPr>
          </w:p>
        </w:tc>
        <w:tc>
          <w:tcPr>
            <w:tcW w:w="19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lhiggins@activepower.com</w:t>
            </w:r>
          </w:p>
        </w:tc>
        <w:tc>
          <w:tcPr>
            <w:tcW w:w="280" w:type="dxa"/>
            <w:vAlign w:val="bottom"/>
          </w:tcPr>
          <w:p>
            <w:pPr>
              <w:spacing w:after="0"/>
              <w:rPr>
                <w:sz w:val="15"/>
                <w:szCs w:val="15"/>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Three</w:t>
      </w:r>
    </w:p>
    <w:p>
      <w:pPr>
        <w:jc w:val="center"/>
        <w:ind w:left="9720"/>
        <w:spacing w:after="0" w:line="223" w:lineRule="auto"/>
        <w:rPr>
          <w:sz w:val="20"/>
          <w:szCs w:val="20"/>
          <w:color w:val="auto"/>
        </w:rPr>
      </w:pPr>
      <w:r>
        <w:rPr>
          <w:rFonts w:ascii="Arial" w:cs="Arial" w:eastAsia="Arial" w:hAnsi="Arial"/>
          <w:sz w:val="14"/>
          <w:szCs w:val="14"/>
          <w:b w:val="1"/>
          <w:bCs w:val="1"/>
          <w:color w:val="auto"/>
        </w:rPr>
        <w:t>Months Ended</w:t>
      </w:r>
    </w:p>
    <w:p>
      <w:pPr>
        <w:jc w:val="center"/>
        <w:ind w:left="97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4,911</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5,636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23"/>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6,960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(6,623)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(6,723)</w:t>
            </w:r>
          </w:p>
        </w:tc>
        <w:tc>
          <w:tcPr>
            <w:tcW w:w="0" w:type="dxa"/>
            <w:vAlign w:val="bottom"/>
          </w:tcPr>
          <w:p>
            <w:pPr>
              <w:spacing w:after="0"/>
              <w:rPr>
                <w:sz w:val="1"/>
                <w:szCs w:val="1"/>
                <w:color w:val="auto"/>
              </w:rPr>
            </w:pPr>
          </w:p>
        </w:tc>
      </w:tr>
      <w:tr>
        <w:trPr>
          <w:trHeight w:val="322"/>
        </w:trPr>
        <w:tc>
          <w:tcPr>
            <w:tcW w:w="76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50,088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(6,293)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6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Current assets: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11,789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2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6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34,494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Deposits and other</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6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1,328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Stockholders’ equity:</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Treasury stock</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244,068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(211,189)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(204,765)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accumulated comprehensive income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56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2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5831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8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Concludes and Reports Results of Stock Option Investigation,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Files 2006 Annual Report on Form 10-K</w:t>
      </w:r>
    </w:p>
    <w:p>
      <w:pPr>
        <w:spacing w:after="0" w:line="15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Austin, Texas (May 14, 2007) – </w:t>
      </w:r>
      <w:r>
        <w:rPr>
          <w:rFonts w:ascii="Arial" w:cs="Arial" w:eastAsia="Arial" w:hAnsi="Arial"/>
          <w:sz w:val="16"/>
          <w:szCs w:val="16"/>
          <w:color w:val="auto"/>
        </w:rPr>
        <w:t>Active Power, Inc. (Nasdaq: ACPW) announced that today it has filed with the Securities and Exchange Commission (SEC) its</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Report on Form 10-K for the year ended December 31, 2006. The Form 10-K filed today includes restated financial statements for years 2001 through 2005, and certain restated quarterly information for 2005 and 2006. The total additional stock-based compensation expense recorded as a result of the investigation into the Company’s historical stock option granting practices for the years between 2000 and 2006 was $2.82 million. The Company had previously reported that it estimated these expenses would be between $1.5 - $3 million.</w:t>
      </w:r>
    </w:p>
    <w:p>
      <w:pPr>
        <w:spacing w:after="0" w:line="11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With today’s filing, and upon the filing of its Quarterly Report on Form 10-Q for the quarter ended March 31, 2007 which is anticipated to occur on May 15 2007, the Company believes that it will be current in its SEC reporting obligations and will have satisfied all of the conditions of the NASDAQ Listing Qualifications Panel for the continued listing of its common stock on the Nasdaq Global Market.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fourth quarter 2006 and full year 2006 financial statements are included with this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Stock Option Investigation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has now completed the investigation into its historical stock option granting practices, and its Board of Directors has adopted all the recommendations of the Special Committee that conducted this investigation. A more comprehensive report is included in the Annual Report on Form 10-K that was filed today. The following is a summary of that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Committee and Company Findings</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Special Committee, which consisted solely of independent directors, self-initiated an investigation into our stock option granting practices in December 2006. As a result of this</w:t>
      </w:r>
    </w:p>
    <w:p>
      <w:pPr>
        <w:sectPr>
          <w:pgSz w:w="11900" w:h="16838" w:orient="portrait"/>
          <w:cols w:equalWidth="0" w:num="1">
            <w:col w:w="11420"/>
          </w:cols>
          <w:pgMar w:left="240" w:top="125" w:right="239" w:bottom="1440" w:gutter="0" w:footer="0" w:header="0"/>
        </w:sectPr>
      </w:pPr>
    </w:p>
    <w:bookmarkStart w:id="10" w:name="page11"/>
    <w:bookmarkEnd w:id="10"/>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investigation, we identified errors with an aggregate financial impact of approximately $3.37 million including the effects of $543,000 in tax adjustments. As a result of the Special Committee’s investigation, we have determined the following: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Inappropriate Practices Prior to May 10, 2006. </w:t>
      </w:r>
      <w:r>
        <w:rPr>
          <w:rFonts w:ascii="Arial" w:cs="Arial" w:eastAsia="Arial" w:hAnsi="Arial"/>
          <w:sz w:val="18"/>
          <w:szCs w:val="18"/>
          <w:color w:val="auto"/>
        </w:rPr>
        <w:t>The Special Committee’s review of our stock option granting practices identified the use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improper practices by certain former members of our senior management during the period from August 8, 2000, the date of our initial public offering, to May 10, 2006, the appointment date of the Company’s current CEO, Jim Clishem.</w:t>
      </w:r>
    </w:p>
    <w:p>
      <w:pPr>
        <w:spacing w:after="0" w:line="181" w:lineRule="exact"/>
        <w:rPr>
          <w:sz w:val="20"/>
          <w:szCs w:val="20"/>
          <w:color w:val="auto"/>
        </w:rPr>
      </w:pPr>
    </w:p>
    <w:p>
      <w:pPr>
        <w:ind w:left="900" w:right="2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Beginning in May 2001, the regular practice of certain former members of our senior management was to select option grant dates and exercise prices with the benefit of hindsight (i.e. backdating) with respect to annual grants and other performance based grants other than hire-date grants. The backdating practices of certain former members of our senior management generally utilized a so-called “window of opportunity” to select grant dates and exercise prices with the benefit of hindsight, ranging from a few days to several weeks, that corresponded with the date of the lowest closing price for our shares during the period in question.</w:t>
      </w:r>
    </w:p>
    <w:p>
      <w:pPr>
        <w:spacing w:after="0" w:line="183"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Special Committee also found that in some instances the exercise price was set before a definitive list of optionees and the actual number of option shares to be granted to each optionee was finalized.</w:t>
      </w:r>
    </w:p>
    <w:p>
      <w:pPr>
        <w:spacing w:after="0" w:line="172" w:lineRule="exact"/>
        <w:rPr>
          <w:rFonts w:ascii="Arial" w:cs="Arial" w:eastAsia="Arial" w:hAnsi="Arial"/>
          <w:sz w:val="18"/>
          <w:szCs w:val="18"/>
          <w:color w:val="auto"/>
        </w:rPr>
      </w:pPr>
    </w:p>
    <w:p>
      <w:pPr>
        <w:ind w:left="900" w:right="26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Separately, certain grants prior to May 2006 were approved by Unanimous Written Consent (UWC) of our Compensation Committee with an “effective date” that preceded the date that the UWC was actually signed. We determined that the measurement date for these grants should be the date that the final signature was received from the Compensation Committee members, as evidenced by the receipt of an electronic signature page and supporting electronic date stamping evidence.</w:t>
      </w:r>
    </w:p>
    <w:p>
      <w:pPr>
        <w:spacing w:after="0" w:line="183"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two instances in the summer of 2001 involving multiple employees, stock options were granted and subsequently re-granted by certain former members of our senior management. In those cases, grant dates and corresponding exercise prices were modified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 w:name="page12"/>
    <w:bookmarkEnd w:id="11"/>
    <w:p>
      <w:pPr>
        <w:jc w:val="both"/>
        <w:ind w:left="920" w:right="4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adjusted after the initial grant date and price had been communicated to employees or the third-party stock plan administrator resulting in re-granted options with exercise prices lower than the exercise prices of the original grants. A similar instance in 2005 involved the initial grant of options in connection with the hiring of a senior executive officer. These re-grants were not properly accounted for using variable accounting as required by APB 25.</w:t>
      </w:r>
    </w:p>
    <w:p>
      <w:pPr>
        <w:spacing w:after="0" w:line="197" w:lineRule="exact"/>
        <w:rPr>
          <w:sz w:val="20"/>
          <w:szCs w:val="20"/>
          <w:color w:val="auto"/>
        </w:rPr>
      </w:pPr>
    </w:p>
    <w:p>
      <w:pPr>
        <w:ind w:left="900" w:hanging="325"/>
        <w:spacing w:after="0" w:line="29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former members of our senior management engaged in actions that decreased the likelihood of detecting problematic practices with option granting procedures, including delayed preparation of Board minutes; drafting Board meeting minutes that did not properly reflect the intentions of the Board; omitting exhibits from Board minutes and not properly recording grants apparently presented and approved at such Board meetings; delaying reporting the activities of the Special Stock Option Committee to a quarterly basis instead of reporting at each Board meeting as required; re-granting and re-pricing underwater options without communicating to the Board, Audit Committee or the Company’s auditors; liberally construing the definition of an active employee for purposes of stock option accounting; and liberally construing materiality with respect to stock option accounting used by the Company in preparation of its financial statements.</w:t>
      </w:r>
    </w:p>
    <w:p>
      <w:pPr>
        <w:spacing w:after="0" w:line="158"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Former Company management also delayed or manipulated the documentation of granting actions for options granted to Section 16 reporting persons in order to give the appearance of compliance with SEC reporting requirements.</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Deficiencies in Authority to Grant Stock Options. </w:t>
      </w:r>
      <w:r>
        <w:rPr>
          <w:rFonts w:ascii="Arial" w:cs="Arial" w:eastAsia="Arial" w:hAnsi="Arial"/>
          <w:sz w:val="18"/>
          <w:szCs w:val="18"/>
          <w:color w:val="auto"/>
        </w:rPr>
        <w:t>Evidence indicates that our former Chairman and Chief Executive Officer (or members of former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management on his behalf) would approve option grants in excess of 20,000 shares to officers and non-employees, which would have been beyond the Board delegated authority granted to him in his capacity as sole member of our Special Stock Option Committee. Certain former members of Company management routinely acted as though they had been delegated the authority to establish grant dates and exercise prices notwithstanding lack of authority under Delaware law for non-directors to do so.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 w:name="page13"/>
    <w:bookmarkEnd w:id="12"/>
    <w:p>
      <w:pPr>
        <w:ind w:right="6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Hire Date Grants. </w:t>
      </w:r>
      <w:r>
        <w:rPr>
          <w:rFonts w:ascii="Arial" w:cs="Arial" w:eastAsia="Arial" w:hAnsi="Arial"/>
          <w:sz w:val="16"/>
          <w:szCs w:val="16"/>
          <w:color w:val="auto"/>
        </w:rPr>
        <w:t>The Company’s informal policy was to make new employee option grants with grant dates and exercise prices corresponding to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new employee commenced employment with the Company (or, in some cases, when the employee moved from part-time to full-time employment). Although no evidence was found showing that any of these grants were made as of dates other than the relevant employee’s start date, the recording of minutes approving these grants was often performed at a date other than that commencement date.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Accounting Errors Associated with Stock Option Modifications</w:t>
      </w:r>
      <w:r>
        <w:rPr>
          <w:rFonts w:ascii="Arial" w:cs="Arial" w:eastAsia="Arial" w:hAnsi="Arial"/>
          <w:sz w:val="16"/>
          <w:szCs w:val="16"/>
          <w:color w:val="auto"/>
        </w:rPr>
        <w:t>. Until December 2005, in connection with severance arrangements provided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employees, including former officers, certain former members of our senior management extended the vesting period, the exercise period or both, of existing options; often by providing a nominal salary to a terminated employee as part of his or her severance arrangement. In some cases these modifications were made by company managers without senior executive or Board knowledge. In other cases, options were allowed to continue vesting through extended leaves of absence despite contrary provisions in the terms of the option grants.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Employee Stock Purchase Plan Administration Deficiencies. </w:t>
      </w:r>
      <w:r>
        <w:rPr>
          <w:rFonts w:ascii="Arial" w:cs="Arial" w:eastAsia="Arial" w:hAnsi="Arial"/>
          <w:sz w:val="18"/>
          <w:szCs w:val="18"/>
          <w:color w:val="auto"/>
        </w:rPr>
        <w:t>We incorrectly calculated the discount given, and hence the correct purchase price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making purchases under our Employee Stock Purchase Plan. Certain former managers also allowed a number of terminated employees to continue to purchase shares in the Employee Stock Purchase Plan in violation of IRS rules subsequent to their date of termination. The Employee Stock Purchase Plan was discontinued in February 2006 for reasons unrelated to the investigation.</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i w:val="1"/>
          <w:iCs w:val="1"/>
          <w:color w:val="auto"/>
        </w:rPr>
        <w:t>Stock Option Grants to Non-Employees</w:t>
      </w:r>
      <w:r>
        <w:rPr>
          <w:rFonts w:ascii="Arial" w:cs="Arial" w:eastAsia="Arial" w:hAnsi="Arial"/>
          <w:sz w:val="18"/>
          <w:szCs w:val="18"/>
          <w:color w:val="auto"/>
        </w:rPr>
        <w:t>. We failed to correctly account for certain stock options that we granted to non-employees (e.g., advisors or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contractors, including sales representatives), with the result that the fair value of those grants was not appropriately recorded as a compensation expense as required by SFAS 123.</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Income Tax Matters</w:t>
      </w:r>
      <w:r>
        <w:rPr>
          <w:rFonts w:ascii="Arial" w:cs="Arial" w:eastAsia="Arial" w:hAnsi="Arial"/>
          <w:sz w:val="18"/>
          <w:szCs w:val="18"/>
          <w:color w:val="auto"/>
        </w:rPr>
        <w:t>. As a result of misstatement of the correct grant date for stock options, many options were inappropriately classified as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(ISOs). The disqualification of ISO classification and the resulting conversion to non-qualified tax status results in additional payroll withholding tax obligations by the Company on the exercise of these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 w:name="page14"/>
    <w:bookmarkEnd w:id="1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The Company has recorded estimated tax liabilities of $543,000, including potential penalties for incorrectly reporting and withholding of taxes for the inappropriately classified incentive stock options. The Company intends to pursue a negotiated settlement with the Internal Revenue Service as soon as practicable, and the ultimate liability will be based on that settlement.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discounted options vesting subsequent to December 31, 2004 may result in nonqualified deferred compensation for purposes of Section 409A of the Internal Revenue Code thereby subjecting holders to a 20% penalty tax and potential interest on the value of the options in the period in which they vested or were exercised. With respect to options exercised, the Company has determined that we will assist certain affected optionees in meeting certain tax liabilities by reimbursing such optionees for the amount of such liabilities they have incurred as a result of the granting errors; however, we have determined that certain persons who were significantly involved in the problematic practices identified in our internal stock option investigation will not be afforded any such assistance. With respect to unexercised options, the Company has further determined that we will implement a plan to assist certain affected optionees in meeting their liabilities for the amount of this tax obligation by either adjusting the terms of the original option grant (in the case of out-of-the-money options) or adjusting the terms of the original option grant and paying the affected employees an amount to compensate such employees for the increase in exercise price (in the case of in-the-money options). We have determined that certain persons who were significantly involved in the problematic practices identified in our internal stock option investigation will not be afforded any such assistance. The Company also intends to pursue a negotiated settlement with the Internal Revenue Service relating to this topic as soon as practicable, and the ultimate liability will be based on that settlement.</w:t>
      </w:r>
    </w:p>
    <w:p>
      <w:pPr>
        <w:spacing w:after="0" w:line="12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Involvement of Current Management</w:t>
      </w:r>
      <w:r>
        <w:rPr>
          <w:rFonts w:ascii="Arial" w:cs="Arial" w:eastAsia="Arial" w:hAnsi="Arial"/>
          <w:sz w:val="16"/>
          <w:szCs w:val="16"/>
          <w:color w:val="auto"/>
        </w:rPr>
        <w:t>. As a result of its investigation, the Special Committee has concluded that there was no involvement in any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processing or modifications, or intentional wrongdoing in any of these errors by our current Chief Executive Officer or our current Chief Financial Officer. The Special Committee and Board have expressed their full confidence in the integrity of Mr. Clishem and Mr. Penver.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Remedial Measures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are committed to remediating the problems associated with our past stock option granting practices. In fact, we had changed and strengthened many of our procedures over option granting prior to discovery of issues with our prior option grants, and the commencement of the review in December 2006.</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2006, management implemented certain improvements to our control environment as well as to controls over administration of and accounting for our equity compensation awards. These control improvements, described below, were applied to equity compensation awards between October 2006 and December 31, 2006:</w:t>
      </w:r>
    </w:p>
    <w:p>
      <w:pPr>
        <w:spacing w:after="0" w:line="18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2006 the Board discontinued its use of the Special Stock Option Committee.</w:t>
      </w:r>
    </w:p>
    <w:p>
      <w:pPr>
        <w:spacing w:after="0" w:line="211"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adjusted our policies and procedures to express the Board’s intent that, as a general matter of practice, equity compensation awards are to be approved in actual meetings of the Compensation Committee or full Board of Directors that are scheduled in advance. Under this policy, unless unusual circumstances dictate a deviation and the reasons and circumstances are contemporaneously documented, stock-based compensation awards are not to be made at unscheduled meetings or by unanimous written consents. These adjustments also included the discontinuation of the practice of granting options with grant dates as of a new employee’s commencement of employment.</w:t>
      </w:r>
    </w:p>
    <w:p>
      <w:pPr>
        <w:spacing w:after="0" w:line="156" w:lineRule="exact"/>
        <w:rPr>
          <w:rFonts w:ascii="Arial" w:cs="Arial" w:eastAsia="Arial" w:hAnsi="Arial"/>
          <w:sz w:val="16"/>
          <w:szCs w:val="16"/>
          <w:color w:val="auto"/>
        </w:rPr>
      </w:pPr>
    </w:p>
    <w:p>
      <w:pPr>
        <w:ind w:left="900" w:right="240" w:hanging="325"/>
        <w:spacing w:after="0" w:line="370"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changed the standard terms of our equity compensation awards so that going forward new awards would not be fully exercisable immediately upon issuance and so that vesting would not commence until the date of grant (as opposed to date of commencement of employment).</w:t>
      </w:r>
    </w:p>
    <w:p>
      <w:pPr>
        <w:spacing w:after="0" w:line="102" w:lineRule="exact"/>
        <w:rPr>
          <w:rFonts w:ascii="Arial" w:cs="Arial" w:eastAsia="Arial" w:hAnsi="Arial"/>
          <w:sz w:val="15"/>
          <w:szCs w:val="15"/>
          <w:color w:val="auto"/>
        </w:rPr>
      </w:pPr>
    </w:p>
    <w:p>
      <w:pPr>
        <w:ind w:left="900" w:right="6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also adopted a policy that generally requires the attendance of outside legal advisors at Compensation Committee and Board meetings to facilitate the appropriate authorization and documentation of each equity compensation award and meeting minutes in a timely fashion.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5" w:name="page16"/>
    <w:bookmarkEnd w:id="15"/>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added certain procedures to monitor the accuracy and completeness of stock option granting paperwork, including an independent review by our finance manager prior to the issuance of any paperwork to recipients.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Recommendations and Actions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Furthermore, the Special Committee issued a report to our Board of Directors in April 2007 recommending certain additional improvements to our stock option granting procedures. We adopted their recommendations, which had the effect of further improving our controls related to stock option granting procedures. The additional control procedures recommended by the Special Committee and approved by our Board included the following:</w:t>
      </w:r>
    </w:p>
    <w:p>
      <w:pPr>
        <w:spacing w:after="0" w:line="147" w:lineRule="exact"/>
        <w:rPr>
          <w:sz w:val="20"/>
          <w:szCs w:val="20"/>
          <w:color w:val="auto"/>
        </w:rPr>
      </w:pPr>
    </w:p>
    <w:p>
      <w:pPr>
        <w:ind w:left="900" w:right="8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Designating one or more persons adequately trained in the legal and accounting implications of stock option grants to be responsible for administration and monitoring.</w:t>
      </w:r>
    </w:p>
    <w:p>
      <w:pPr>
        <w:spacing w:after="0" w:line="172"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Expressly advise persons implementing our processes for stock-based compensation awards that the Company’s written Stock-Based Compensation Awards Policies and Procedures preclude the selection of grant dates or exercise prices with the benefit of hindsight.</w:t>
      </w:r>
    </w:p>
    <w:p>
      <w:pPr>
        <w:spacing w:after="0" w:line="1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option granting processes will be reviewed no less than annually by our Chief Executive Office and Chief Financial Officer and to the extent deemed necessary, the Board (or its appropriate committees), to assess compliance with applicable laws and regulations.</w:t>
      </w:r>
    </w:p>
    <w:p>
      <w:pPr>
        <w:spacing w:after="0" w:line="8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are committed to observing the above remedial measures. We have also adopted new written Stock-Based Compensation Awards Policies and Procedures that among other things, provide that unscheduled grants should be minimized and only made after full consideration of market timing and other issues associated with any such deviation. Further, the policy calls for the documentation of any such deviation.</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we have concluded that many holders of currently outstanding stock options were not significantly involved in or aware of the problematic practices described above, the Board has decided that we should continue to honor currently outstanding options that potentially violated the terms of our stock option plan or Delaware law at their issuance.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16" w:name="page17"/>
    <w:bookmarkEnd w:id="16"/>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April 19, 2007, the Board decided that the Company would not honor any outstanding options held by persons that the Board determined were significantly involved in the problematic practices identified by the investigation and knew or should have known that the practices were contrary to the terms of our stock option plan, Delaware law, or proper accounting practices. On April 19, 2007, the Board directed the Company’s counsel to communicate the Company’s demand that any such options still outstanding should be treated by any such optionee as cancelled. All such options that were still outstanding as of April 19, 2007 have now expired according to their original terms without any attempted exercises.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19, 2007, the Board also decided that the Company should seek the return of profits realized upon the exercise of certain options by persons that the Board determined were significantly involved in the problematic practices identified in the investigation and knew or should have known that the practices were contrary to our stock option plan, Delaware law or proper accounting practices. On April 19, 2007, the Board directed the Company’s counsel to communicate to such persons the Company’s demand for the return of such profits.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Matters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voluntarily informed the SEC regarding the formation of the Special Committee and its investigation into our stock option granting procedures. We have also agreed to share the results of the Special Committee’s investigation with the SEC. We have received requests for voluntary production of documents from the SEC and have delivered such documents to the SEC, and we are fully cooperating with the SEC. Further SEC inquiries may require us to expend significant management time in the future, and could result in civil or criminal actions seeking, among other things, injunctions, fines and other penalties. We cannot predict how long such inquiries may take or how much time and resources will be required to respond to them, or if any such inquiries will lead to further action by the SEC against the Company or otherwise expose the Company to sanctions, fines or other penalties.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March 19, 2007 we formally notified The Nasdaq Global Market that we had not timely filed our Annual Report on Form 10-K for the year ended December 31, 2006 with the SEC. Therefore we were not in compliance with Nasdaq’s filing requirement as set forth in Nasdaq Marketplace Rule 4310(c)(14), which requires, among other things, that we timely file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7" w:name="page18"/>
    <w:bookmarkEnd w:id="1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required reports with the SEC. Consequently, on March 21, 2007, we received a staff determination letter from Nasdaq indicating that our failure to timely file our Annual Report on Form 10-K for the year ended December 31, 2006 served as a basis for delisting our common stock from The Nasdaq Global Market at the opening of business on March 30, 2007 unless we requested a hearing in accordance with Nasdaq Marketplace Rules 4800 through 4811. We attended the hearing on May 10, 2007, and we are awaiting the decision of the Nasdaq listing qualifications panel. By filing our Annual Report on Form 10-K for the year ended December 31, 2006, and upon the filing of our Quarterly Report on Form 10-Q for March 31, 2007, which we anticipate on May 15, 2007, we believe we will have regained compliance with the conditions for the continued listing of our common stock on The Nasdaq Global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Restatement and Investigation</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incurred substantial expenses for legal, accounting, tax and other professional services in connection with the Special Committee’s investigation, the preparation of our restated financial statements and related regulatory matters. We have incurred expenses of approximately $1.5 million through March 31, 2007 related to these matters. We expect to continue to incur additional expenses at least through June as we complete regulatory reviews and meet with the SEC and IRS, and finalize the liabilities with regard to income tax treatment of issues arising from the investigation. In addition, for potential future legal proceedings related to these matters, we may be obligated to indemnify and advance significant legal expenses to certain current and former officers and directors pursuant to the requirements of Delaware law and our indemnification agreements with such current and former officers and directors for legal proceedings related to these matters.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2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 xml:space="preserve">Active Power (NASDAQ: ACPW) provides efficient, reliable, and green power quality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over 40 countries. Active Power recently introduced CoolAir, the only solution that provides both backup power and backup cooling. With expert power system engineers and worldwide service and support, Active Power provides turnkey solutions that ensure organizations have the power to perform. For more information, please visit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Statements in this release regarding expected future results are forward looking statements that are subject to the Safe Harbor provisions created by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the potential for significant losses to continue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the volatility of our stock price regardless of our actual financial performance; further adjustments that may be required as a result of our independent review of our historical stock option granting procedures; and other factors detailed in our filings with the Securities and Exchange Commission. Readers are cautioned not to place undue reliance upon these forward looking statements, which speak only as of the date hereof, and the Company undertakes no obligation to update these forward looking statements to reflect subsequent events or circumstances. The inclusion of any statement in this release does not constitute an admission by the Company or any other person that the events or circumstances described in such statement are material.</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Active Power, the Active Power logo, and CleanSource are registered trademarks of, and CoolAir is a trademark of Active Power, Inc. All other trademarks are the properties of their respective companies.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b w:val="1"/>
                <w:bCs w:val="1"/>
                <w:color w:val="auto"/>
              </w:rPr>
              <w:t>Active Power Investor Contact:</w:t>
            </w:r>
          </w:p>
        </w:tc>
        <w:tc>
          <w:tcPr>
            <w:tcW w:w="19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88"/>
              </w:rPr>
              <w:t>Active Power Media Contact: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John Penver</w:t>
            </w:r>
          </w:p>
        </w:tc>
        <w:tc>
          <w:tcPr>
            <w:tcW w:w="19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Lee Higgins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9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PR Manager</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512.744.9234</w:t>
            </w:r>
          </w:p>
        </w:tc>
        <w:tc>
          <w:tcPr>
            <w:tcW w:w="3880" w:type="dxa"/>
            <w:vAlign w:val="bottom"/>
            <w:gridSpan w:val="2"/>
          </w:tcPr>
          <w:p>
            <w:pPr>
              <w:ind w:left="1960"/>
              <w:spacing w:after="0"/>
              <w:rPr>
                <w:sz w:val="20"/>
                <w:szCs w:val="20"/>
                <w:color w:val="auto"/>
              </w:rPr>
            </w:pPr>
            <w:r>
              <w:rPr>
                <w:rFonts w:ascii="Arial" w:cs="Arial" w:eastAsia="Arial" w:hAnsi="Arial"/>
                <w:sz w:val="18"/>
                <w:szCs w:val="18"/>
                <w:color w:val="auto"/>
              </w:rPr>
              <w:t>512.944.9488</w:t>
            </w:r>
          </w:p>
        </w:tc>
        <w:tc>
          <w:tcPr>
            <w:tcW w:w="280" w:type="dxa"/>
            <w:vAlign w:val="bottom"/>
          </w:tcPr>
          <w:p>
            <w:pPr>
              <w:spacing w:after="0"/>
              <w:rPr>
                <w:sz w:val="18"/>
                <w:szCs w:val="18"/>
                <w:color w:val="auto"/>
              </w:rPr>
            </w:pPr>
          </w:p>
        </w:tc>
      </w:tr>
      <w:tr>
        <w:trPr>
          <w:trHeight w:val="184"/>
        </w:trPr>
        <w:tc>
          <w:tcPr>
            <w:tcW w:w="4000" w:type="dxa"/>
            <w:vAlign w:val="bottom"/>
          </w:tcPr>
          <w:p>
            <w:pPr>
              <w:spacing w:after="0" w:line="184" w:lineRule="exact"/>
              <w:rPr>
                <w:sz w:val="20"/>
                <w:szCs w:val="20"/>
                <w:color w:val="auto"/>
              </w:rPr>
            </w:pPr>
            <w:r>
              <w:rPr>
                <w:rFonts w:ascii="Arial" w:cs="Arial" w:eastAsia="Arial" w:hAnsi="Arial"/>
                <w:sz w:val="18"/>
                <w:szCs w:val="18"/>
                <w:color w:val="auto"/>
              </w:rPr>
              <w:t>jpenver@activepower.com</w:t>
            </w:r>
          </w:p>
        </w:tc>
        <w:tc>
          <w:tcPr>
            <w:tcW w:w="1960" w:type="dxa"/>
            <w:vAlign w:val="bottom"/>
          </w:tcPr>
          <w:p>
            <w:pPr>
              <w:spacing w:after="0"/>
              <w:rPr>
                <w:sz w:val="15"/>
                <w:szCs w:val="15"/>
                <w:color w:val="auto"/>
              </w:rPr>
            </w:pPr>
          </w:p>
        </w:tc>
        <w:tc>
          <w:tcPr>
            <w:tcW w:w="2200" w:type="dxa"/>
            <w:vAlign w:val="bottom"/>
            <w:gridSpan w:val="2"/>
          </w:tcPr>
          <w:p>
            <w:pPr>
              <w:spacing w:after="0" w:line="184" w:lineRule="exact"/>
              <w:rPr>
                <w:sz w:val="20"/>
                <w:szCs w:val="20"/>
                <w:color w:val="auto"/>
              </w:rPr>
            </w:pPr>
            <w:r>
              <w:rPr>
                <w:rFonts w:ascii="Arial" w:cs="Arial" w:eastAsia="Arial" w:hAnsi="Arial"/>
                <w:sz w:val="18"/>
                <w:szCs w:val="18"/>
                <w:color w:val="auto"/>
              </w:rPr>
              <w:t>lhiggins@activepower.com</w:t>
            </w:r>
          </w:p>
        </w:tc>
      </w:tr>
      <w:tr>
        <w:trPr>
          <w:trHeight w:val="383"/>
        </w:trPr>
        <w:tc>
          <w:tcPr>
            <w:tcW w:w="4000" w:type="dxa"/>
            <w:vAlign w:val="bottom"/>
          </w:tcPr>
          <w:p>
            <w:pPr>
              <w:spacing w:after="0"/>
              <w:rPr>
                <w:sz w:val="24"/>
                <w:szCs w:val="24"/>
                <w:color w:val="auto"/>
              </w:rPr>
            </w:pPr>
          </w:p>
        </w:tc>
        <w:tc>
          <w:tcPr>
            <w:tcW w:w="196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9"/>
              </w:rPr>
              <w:t>Twelve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Restated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7,643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21,939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8,218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24,343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323"/>
        </w:trPr>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Litigation settlement expense</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(1,781)</w:t>
            </w:r>
          </w:p>
        </w:tc>
        <w:tc>
          <w:tcPr>
            <w:tcW w:w="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23,545</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(4,090)</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(7,677)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(22,859)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(25,335)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2"/>
            <w:vMerge w:val="continue"/>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(3,839)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(7,283)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(21,149)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50,017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48,792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49,663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(3,839)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6"/>
              </w:rPr>
              <w:t>Unrealized gain (loss) on investments in marketable securities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investments in marketable securities</w:t>
            </w:r>
          </w:p>
        </w:tc>
        <w:tc>
          <w:tcPr>
            <w:tcW w:w="2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Comprehensive loss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(7,289)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(21,221)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60" w:type="dxa"/>
            <w:vAlign w:val="bottom"/>
            <w:vMerge w:val="restart"/>
          </w:tcPr>
          <w:p>
            <w:pPr>
              <w:jc w:val="right"/>
              <w:ind w:right="219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9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4"/>
              <w:spacing w:after="0" w:line="143" w:lineRule="exact"/>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Deposits and other</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2,663</w:t>
            </w:r>
          </w:p>
        </w:tc>
        <w:tc>
          <w:tcPr>
            <w:tcW w:w="2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stock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243,519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(204,765)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(183,616)</w:t>
            </w: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Other accumulated comprehensive income</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46,726</w:t>
            </w:r>
          </w:p>
        </w:tc>
        <w:tc>
          <w:tcPr>
            <w:tcW w:w="28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3"/>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2019-12-14T17:57:42Z</dcterms:created>
  <dcterms:modified xsi:type="dcterms:W3CDTF">2019-12-14T17:57:42Z</dcterms:modified>
</cp:coreProperties>
</file>