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064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6476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4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6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LINDELOW JAN H</w:t>
              </w:r>
            </w:hyperlink>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40" w:type="dxa"/>
            <w:vAlign w:val="bottom"/>
            <w:gridSpan w:val="8"/>
          </w:tcPr>
          <w:p>
            <w:pPr>
              <w:ind w:left="6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ACTIVE POWER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ACPW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4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96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Borders>
              <w:top w:val="single" w:sz="8" w:color="0000EE"/>
            </w:tcBorders>
          </w:tcPr>
          <w:p>
            <w:pPr>
              <w:spacing w:after="0"/>
              <w:rPr>
                <w:sz w:val="8"/>
                <w:szCs w:val="8"/>
                <w:color w:val="auto"/>
              </w:rPr>
            </w:pPr>
          </w:p>
        </w:tc>
        <w:tc>
          <w:tcPr>
            <w:tcW w:w="740" w:type="dxa"/>
            <w:vAlign w:val="bottom"/>
            <w:tcBorders>
              <w:top w:val="single" w:sz="8" w:color="0000EE"/>
            </w:tcBorders>
          </w:tcPr>
          <w:p>
            <w:pPr>
              <w:spacing w:after="0"/>
              <w:rPr>
                <w:sz w:val="8"/>
                <w:szCs w:val="8"/>
                <w:color w:val="auto"/>
              </w:rPr>
            </w:pPr>
          </w:p>
        </w:tc>
        <w:tc>
          <w:tcPr>
            <w:tcW w:w="380" w:type="dxa"/>
            <w:vAlign w:val="bottom"/>
            <w:tcBorders>
              <w:top w:val="single" w:sz="8" w:color="0000EE"/>
            </w:tcBorders>
          </w:tcPr>
          <w:p>
            <w:pPr>
              <w:spacing w:after="0"/>
              <w:rPr>
                <w:sz w:val="8"/>
                <w:szCs w:val="8"/>
                <w:color w:val="auto"/>
              </w:rPr>
            </w:pPr>
          </w:p>
        </w:tc>
        <w:tc>
          <w:tcPr>
            <w:tcW w:w="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40" w:type="dxa"/>
            <w:vAlign w:val="bottom"/>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186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14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40" w:type="dxa"/>
            <w:vAlign w:val="bottom"/>
            <w:gridSpan w:val="8"/>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7"/>
                <w:szCs w:val="17"/>
                <w:color w:val="0000FF"/>
              </w:rPr>
              <w:t>C/O ACTIVE POWER</w:t>
            </w:r>
          </w:p>
        </w:tc>
        <w:tc>
          <w:tcPr>
            <w:tcW w:w="1140" w:type="dxa"/>
            <w:vAlign w:val="bottom"/>
          </w:tcPr>
          <w:p>
            <w:pPr>
              <w:spacing w:after="0"/>
              <w:rPr>
                <w:sz w:val="19"/>
                <w:szCs w:val="19"/>
                <w:color w:val="auto"/>
              </w:rPr>
            </w:pPr>
          </w:p>
        </w:tc>
        <w:tc>
          <w:tcPr>
            <w:tcW w:w="1720" w:type="dxa"/>
            <w:vAlign w:val="bottom"/>
            <w:gridSpan w:val="5"/>
          </w:tcPr>
          <w:p>
            <w:pPr>
              <w:ind w:left="260"/>
              <w:spacing w:after="0"/>
              <w:rPr>
                <w:sz w:val="20"/>
                <w:szCs w:val="20"/>
                <w:color w:val="auto"/>
              </w:rPr>
            </w:pPr>
            <w:r>
              <w:rPr>
                <w:rFonts w:ascii="Arial" w:cs="Arial" w:eastAsia="Arial" w:hAnsi="Arial"/>
                <w:sz w:val="17"/>
                <w:szCs w:val="17"/>
                <w:color w:val="0000FF"/>
              </w:rPr>
              <w:t>05/01/2012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7"/>
                <w:szCs w:val="17"/>
                <w:color w:val="0000FF"/>
              </w:rPr>
              <w:t>2128 W. BRAKER LANE, BK12</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40" w:type="dxa"/>
            <w:vAlign w:val="bottom"/>
            <w:gridSpan w:val="10"/>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9"/>
                <w:szCs w:val="9"/>
                <w:color w:val="auto"/>
              </w:rPr>
            </w:pPr>
          </w:p>
        </w:tc>
        <w:tc>
          <w:tcPr>
            <w:tcW w:w="356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20" w:type="dxa"/>
            <w:vAlign w:val="bottom"/>
          </w:tcPr>
          <w:p>
            <w:pPr>
              <w:spacing w:after="0"/>
              <w:rPr>
                <w:sz w:val="8"/>
                <w:szCs w:val="8"/>
                <w:color w:val="auto"/>
              </w:rPr>
            </w:pPr>
          </w:p>
        </w:tc>
        <w:tc>
          <w:tcPr>
            <w:tcW w:w="356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6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Arial" w:cs="Arial" w:eastAsia="Arial" w:hAnsi="Arial"/>
                <w:sz w:val="17"/>
                <w:szCs w:val="17"/>
                <w:color w:val="0000FF"/>
              </w:rPr>
              <w:t>AUSTIN</w:t>
            </w:r>
          </w:p>
        </w:tc>
        <w:tc>
          <w:tcPr>
            <w:tcW w:w="1860" w:type="dxa"/>
            <w:vAlign w:val="bottom"/>
            <w:gridSpan w:val="3"/>
          </w:tcPr>
          <w:p>
            <w:pPr>
              <w:ind w:left="600"/>
              <w:spacing w:after="0"/>
              <w:rPr>
                <w:sz w:val="20"/>
                <w:szCs w:val="20"/>
                <w:color w:val="auto"/>
              </w:rPr>
            </w:pPr>
            <w:r>
              <w:rPr>
                <w:rFonts w:ascii="Arial" w:cs="Arial" w:eastAsia="Arial" w:hAnsi="Arial"/>
                <w:sz w:val="17"/>
                <w:szCs w:val="17"/>
                <w:color w:val="0000FF"/>
              </w:rPr>
              <w:t>TX</w:t>
            </w:r>
          </w:p>
        </w:tc>
        <w:tc>
          <w:tcPr>
            <w:tcW w:w="1140" w:type="dxa"/>
            <w:vAlign w:val="bottom"/>
          </w:tcPr>
          <w:p>
            <w:pPr>
              <w:spacing w:after="0"/>
              <w:rPr>
                <w:sz w:val="20"/>
                <w:szCs w:val="20"/>
                <w:color w:val="auto"/>
              </w:rPr>
            </w:pPr>
            <w:r>
              <w:rPr>
                <w:rFonts w:ascii="Arial" w:cs="Arial" w:eastAsia="Arial" w:hAnsi="Arial"/>
                <w:sz w:val="17"/>
                <w:szCs w:val="17"/>
                <w:color w:val="0000FF"/>
              </w:rPr>
              <w:t>78758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ind w:left="14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186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14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98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3"/>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880" w:type="dxa"/>
            <w:vAlign w:val="bottom"/>
            <w:tcBorders>
              <w:bottom w:val="single" w:sz="8" w:color="2C2C2C"/>
            </w:tcBorders>
            <w:gridSpan w:val="6"/>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9"/>
          </w:tcPr>
          <w:p>
            <w:pPr>
              <w:ind w:left="4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5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6"/>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9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3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900" w:type="dxa"/>
            <w:vAlign w:val="bottom"/>
            <w:gridSpan w:val="5"/>
          </w:tcPr>
          <w:p>
            <w:pPr>
              <w:ind w:left="900"/>
              <w:spacing w:after="0"/>
              <w:rPr>
                <w:sz w:val="20"/>
                <w:szCs w:val="20"/>
                <w:color w:val="auto"/>
              </w:rPr>
            </w:pPr>
            <w:r>
              <w:rPr>
                <w:rFonts w:ascii="Arial" w:cs="Arial" w:eastAsia="Arial" w:hAnsi="Arial"/>
                <w:sz w:val="17"/>
                <w:szCs w:val="17"/>
                <w:color w:val="0000FF"/>
              </w:rPr>
              <w:t>05/01/2012</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gridSpan w:val="2"/>
          </w:tcPr>
          <w:p>
            <w:pPr>
              <w:ind w:left="18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23"/>
                <w:szCs w:val="23"/>
                <w:color w:val="auto"/>
              </w:rPr>
            </w:pPr>
          </w:p>
        </w:tc>
        <w:tc>
          <w:tcPr>
            <w:tcW w:w="680" w:type="dxa"/>
            <w:vAlign w:val="bottom"/>
            <w:gridSpan w:val="2"/>
          </w:tcPr>
          <w:p>
            <w:pPr>
              <w:ind w:left="160"/>
              <w:spacing w:after="0"/>
              <w:rPr>
                <w:sz w:val="20"/>
                <w:szCs w:val="20"/>
                <w:color w:val="auto"/>
              </w:rPr>
            </w:pPr>
            <w:r>
              <w:rPr>
                <w:rFonts w:ascii="Arial" w:cs="Arial" w:eastAsia="Arial" w:hAnsi="Arial"/>
                <w:sz w:val="17"/>
                <w:szCs w:val="17"/>
                <w:color w:val="0000FF"/>
                <w:w w:val="96"/>
              </w:rPr>
              <w:t>32,000</w:t>
            </w:r>
          </w:p>
        </w:tc>
        <w:tc>
          <w:tcPr>
            <w:tcW w:w="580" w:type="dxa"/>
            <w:vAlign w:val="bottom"/>
          </w:tcPr>
          <w:p>
            <w:pPr>
              <w:ind w:left="340"/>
              <w:spacing w:after="0"/>
              <w:rPr>
                <w:sz w:val="20"/>
                <w:szCs w:val="20"/>
                <w:color w:val="auto"/>
              </w:rPr>
            </w:pPr>
            <w:r>
              <w:rPr>
                <w:rFonts w:ascii="Arial" w:cs="Arial" w:eastAsia="Arial" w:hAnsi="Arial"/>
                <w:sz w:val="17"/>
                <w:szCs w:val="17"/>
                <w:color w:val="0000FF"/>
              </w:rPr>
              <w:t>A</w:t>
            </w:r>
          </w:p>
        </w:tc>
        <w:tc>
          <w:tcPr>
            <w:tcW w:w="560" w:type="dxa"/>
            <w:vAlign w:val="bottom"/>
            <w:gridSpan w:val="2"/>
          </w:tcPr>
          <w:p>
            <w:pPr>
              <w:jc w:val="right"/>
              <w:ind w:right="46"/>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3"/>
                <w:szCs w:val="23"/>
                <w:color w:val="auto"/>
              </w:rPr>
            </w:pPr>
          </w:p>
        </w:tc>
        <w:tc>
          <w:tcPr>
            <w:tcW w:w="1360" w:type="dxa"/>
            <w:vAlign w:val="bottom"/>
            <w:gridSpan w:val="3"/>
          </w:tcPr>
          <w:p>
            <w:pPr>
              <w:ind w:left="420"/>
              <w:spacing w:after="0"/>
              <w:rPr>
                <w:sz w:val="20"/>
                <w:szCs w:val="20"/>
                <w:color w:val="auto"/>
              </w:rPr>
            </w:pPr>
            <w:r>
              <w:rPr>
                <w:rFonts w:ascii="Arial" w:cs="Arial" w:eastAsia="Arial" w:hAnsi="Arial"/>
                <w:sz w:val="17"/>
                <w:szCs w:val="17"/>
                <w:color w:val="0000FF"/>
              </w:rPr>
              <w:t>246,000</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gridSpan w:val="5"/>
          </w:tcPr>
          <w:p>
            <w:pPr>
              <w:spacing w:after="0"/>
              <w:rPr>
                <w:sz w:val="8"/>
                <w:szCs w:val="8"/>
                <w:color w:val="auto"/>
              </w:rPr>
            </w:pPr>
          </w:p>
        </w:tc>
        <w:tc>
          <w:tcPr>
            <w:tcW w:w="1580" w:type="dxa"/>
            <w:vAlign w:val="bottom"/>
            <w:tcBorders>
              <w:bottom w:val="single" w:sz="8" w:color="2C2C2C"/>
            </w:tcBorders>
            <w:gridSpan w:val="3"/>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gridSpan w:val="7"/>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9"/>
          </w:tcPr>
          <w:p>
            <w:pPr>
              <w:ind w:left="7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80" w:type="dxa"/>
            <w:vAlign w:val="bottom"/>
            <w:gridSpan w:val="16"/>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80"/>
              <w:spacing w:after="0"/>
              <w:rPr>
                <w:sz w:val="20"/>
                <w:szCs w:val="20"/>
                <w:color w:val="auto"/>
              </w:rPr>
            </w:pPr>
            <w:r>
              <w:rPr>
                <w:rFonts w:ascii="Arial" w:cs="Arial" w:eastAsia="Arial" w:hAnsi="Arial"/>
                <w:sz w:val="12"/>
                <w:szCs w:val="12"/>
                <w:b w:val="1"/>
                <w:bCs w:val="1"/>
                <w:color w:val="auto"/>
                <w:w w:val="99"/>
              </w:rPr>
              <w:t>4.</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0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Price of</w:t>
            </w: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3"/>
              </w:rPr>
              <w:t>8)</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  V</w:t>
            </w: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740" w:type="dxa"/>
            <w:vAlign w:val="bottom"/>
            <w:vMerge w:val="restart"/>
          </w:tcPr>
          <w:p>
            <w:pPr>
              <w:ind w:left="280"/>
              <w:spacing w:after="0"/>
              <w:rPr>
                <w:sz w:val="20"/>
                <w:szCs w:val="20"/>
                <w:color w:val="auto"/>
              </w:rPr>
            </w:pPr>
            <w:r>
              <w:rPr>
                <w:rFonts w:ascii="Arial" w:cs="Arial" w:eastAsia="Arial" w:hAnsi="Arial"/>
                <w:sz w:val="11"/>
                <w:szCs w:val="11"/>
                <w:color w:val="008000"/>
              </w:rPr>
              <w:t>(1)</w:t>
            </w: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6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vMerge w:val="restart"/>
          </w:tcPr>
          <w:p>
            <w:pPr>
              <w:ind w:left="120"/>
              <w:spacing w:after="0"/>
              <w:rPr>
                <w:sz w:val="20"/>
                <w:szCs w:val="20"/>
                <w:color w:val="auto"/>
              </w:rPr>
            </w:pPr>
            <w:r>
              <w:rPr>
                <w:rFonts w:ascii="Arial" w:cs="Arial" w:eastAsia="Arial" w:hAnsi="Arial"/>
                <w:sz w:val="11"/>
                <w:szCs w:val="11"/>
                <w:color w:val="008000"/>
              </w:rPr>
              <w:t>(2)</w:t>
            </w: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vMerge w:val="restart"/>
          </w:tcPr>
          <w:p>
            <w:pPr>
              <w:spacing w:after="0"/>
              <w:rPr>
                <w:sz w:val="20"/>
                <w:szCs w:val="20"/>
                <w:color w:val="auto"/>
              </w:rPr>
            </w:pPr>
            <w:r>
              <w:rPr>
                <w:rFonts w:ascii="Arial" w:cs="Arial" w:eastAsia="Arial" w:hAnsi="Arial"/>
                <w:sz w:val="17"/>
                <w:szCs w:val="17"/>
                <w:color w:val="0000FF"/>
              </w:rPr>
              <w:t>32,000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Stock</w:t>
            </w:r>
          </w:p>
        </w:tc>
        <w:tc>
          <w:tcPr>
            <w:tcW w:w="740" w:type="dxa"/>
            <w:vAlign w:val="bottom"/>
            <w:vMerge w:val="continue"/>
          </w:tcPr>
          <w:p>
            <w:pPr>
              <w:spacing w:after="0"/>
              <w:rPr>
                <w:sz w:val="11"/>
                <w:szCs w:val="11"/>
                <w:color w:val="auto"/>
              </w:rPr>
            </w:pPr>
          </w:p>
        </w:tc>
        <w:tc>
          <w:tcPr>
            <w:tcW w:w="1120" w:type="dxa"/>
            <w:vAlign w:val="bottom"/>
            <w:gridSpan w:val="2"/>
          </w:tcPr>
          <w:p>
            <w:pPr>
              <w:jc w:val="right"/>
              <w:ind w:right="153"/>
              <w:spacing w:after="0" w:line="132" w:lineRule="exact"/>
              <w:rPr>
                <w:sz w:val="20"/>
                <w:szCs w:val="20"/>
                <w:color w:val="auto"/>
              </w:rPr>
            </w:pPr>
            <w:r>
              <w:rPr>
                <w:rFonts w:ascii="Arial" w:cs="Arial" w:eastAsia="Arial" w:hAnsi="Arial"/>
                <w:sz w:val="13"/>
                <w:szCs w:val="13"/>
                <w:color w:val="0000FF"/>
              </w:rPr>
              <w:t>05/01/2012</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3"/>
          </w:tcPr>
          <w:p>
            <w:pPr>
              <w:ind w:left="60"/>
              <w:spacing w:after="0" w:line="132" w:lineRule="exact"/>
              <w:rPr>
                <w:sz w:val="20"/>
                <w:szCs w:val="20"/>
                <w:color w:val="auto"/>
              </w:rPr>
            </w:pPr>
            <w:r>
              <w:rPr>
                <w:rFonts w:ascii="Arial" w:cs="Arial" w:eastAsia="Arial" w:hAnsi="Arial"/>
                <w:sz w:val="13"/>
                <w:szCs w:val="13"/>
                <w:color w:val="0000FF"/>
              </w:rPr>
              <w:t>M</w:t>
            </w:r>
          </w:p>
        </w:tc>
        <w:tc>
          <w:tcPr>
            <w:tcW w:w="960" w:type="dxa"/>
            <w:vAlign w:val="bottom"/>
          </w:tcPr>
          <w:p>
            <w:pPr>
              <w:ind w:left="480"/>
              <w:spacing w:after="0" w:line="132" w:lineRule="exact"/>
              <w:rPr>
                <w:sz w:val="20"/>
                <w:szCs w:val="20"/>
                <w:color w:val="auto"/>
              </w:rPr>
            </w:pPr>
            <w:r>
              <w:rPr>
                <w:rFonts w:ascii="Arial" w:cs="Arial" w:eastAsia="Arial" w:hAnsi="Arial"/>
                <w:sz w:val="13"/>
                <w:szCs w:val="13"/>
                <w:color w:val="0000FF"/>
              </w:rPr>
              <w:t>32,000</w:t>
            </w:r>
          </w:p>
        </w:tc>
        <w:tc>
          <w:tcPr>
            <w:tcW w:w="5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4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32" w:lineRule="exact"/>
              <w:rPr>
                <w:sz w:val="20"/>
                <w:szCs w:val="20"/>
                <w:color w:val="auto"/>
              </w:rPr>
            </w:pPr>
            <w:r>
              <w:rPr>
                <w:rFonts w:ascii="Arial" w:cs="Arial" w:eastAsia="Arial" w:hAnsi="Arial"/>
                <w:sz w:val="13"/>
                <w:szCs w:val="13"/>
                <w:color w:val="0000FF"/>
                <w:w w:val="90"/>
              </w:rPr>
              <w:t>32,000</w:t>
            </w:r>
          </w:p>
        </w:tc>
        <w:tc>
          <w:tcPr>
            <w:tcW w:w="28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40"/>
              <w:spacing w:after="0" w:line="148" w:lineRule="exact"/>
              <w:rPr>
                <w:sz w:val="20"/>
                <w:szCs w:val="20"/>
                <w:color w:val="auto"/>
              </w:rPr>
            </w:pPr>
            <w:r>
              <w:rPr>
                <w:rFonts w:ascii="Arial" w:cs="Arial" w:eastAsia="Arial" w:hAnsi="Arial"/>
                <w:sz w:val="13"/>
                <w:szCs w:val="13"/>
                <w:color w:val="0000FF"/>
              </w:rPr>
              <w:t>Stock</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common stock.</w:t>
      </w:r>
    </w:p>
    <w:p>
      <w:pPr>
        <w:spacing w:after="0" w:line="51" w:lineRule="exact"/>
        <w:rPr>
          <w:rFonts w:ascii="Arial" w:cs="Arial" w:eastAsia="Arial" w:hAnsi="Arial"/>
          <w:sz w:val="13"/>
          <w:szCs w:val="13"/>
          <w:color w:val="008000"/>
        </w:rPr>
      </w:pPr>
    </w:p>
    <w:p>
      <w:pPr>
        <w:ind w:left="40" w:right="360" w:firstLine="8"/>
        <w:spacing w:after="0" w:line="248"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representing a contingent right to receive an aggregate of 64,000 shares of common stock, vested as to 50% of the total number of restricted stock units on 5/1/2012, and, with continued service, an additional 25% of the restricted stock units shall vest on 10/16/2012, and the remaining 25% of the restricted stock units shall vest on 10/16/2013. Vested shares will be delivered to the reporting person as soon as practicable after vesting, but in each case within the period ending no later than the later of the 15th day of the 3rd month following the end of the (i) fiscal year or the (ii) calendar year, which in either case includes the vesting date.</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/s/ John K. Penver</w:t>
            </w:r>
          </w:p>
        </w:tc>
        <w:tc>
          <w:tcPr>
            <w:tcW w:w="780" w:type="dxa"/>
            <w:vAlign w:val="bottom"/>
          </w:tcPr>
          <w:p>
            <w:pPr>
              <w:spacing w:after="0"/>
              <w:rPr>
                <w:sz w:val="20"/>
                <w:szCs w:val="20"/>
                <w:color w:val="auto"/>
              </w:rPr>
            </w:pPr>
            <w:r>
              <w:rPr>
                <w:rFonts w:ascii="Arial" w:cs="Arial" w:eastAsia="Arial" w:hAnsi="Arial"/>
                <w:sz w:val="17"/>
                <w:szCs w:val="17"/>
                <w:color w:val="0000FF"/>
                <w:w w:val="89"/>
              </w:rPr>
              <w:t>05/01/2012</w:t>
            </w:r>
          </w:p>
        </w:tc>
      </w:tr>
      <w:tr>
        <w:trPr>
          <w:trHeight w:val="20"/>
        </w:trPr>
        <w:tc>
          <w:tcPr>
            <w:tcW w:w="12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2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2128"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2019-12-17T05:25:18Z</dcterms:created>
  <dcterms:modified xsi:type="dcterms:W3CDTF">2019-12-17T05:25:18Z</dcterms:modified>
</cp:coreProperties>
</file>