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333-163301</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 TO PROSPECTUS DATED DECEMBER 21,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552450</wp:posOffset>
            </wp:positionV>
            <wp:extent cx="1852295"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Active Power, Inc.</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13,229,500 Shares</w:t>
      </w:r>
    </w:p>
    <w:p>
      <w:pPr>
        <w:ind w:left="4980"/>
        <w:spacing w:after="0" w:line="230" w:lineRule="auto"/>
        <w:rPr>
          <w:sz w:val="20"/>
          <w:szCs w:val="20"/>
          <w:color w:val="auto"/>
        </w:rPr>
      </w:pPr>
      <w:r>
        <w:rPr>
          <w:rFonts w:ascii="Arial" w:cs="Arial" w:eastAsia="Arial" w:hAnsi="Arial"/>
          <w:sz w:val="22"/>
          <w:szCs w:val="22"/>
          <w:color w:val="auto"/>
        </w:rPr>
        <w:t>Common Stock</w:t>
      </w:r>
    </w:p>
    <w:p>
      <w:pPr>
        <w:spacing w:after="0" w:line="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$0.75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Active Power, Inc. is selling 13,229,500 shares of its common stock in this offering.</w:t>
      </w:r>
    </w:p>
    <w:p>
      <w:pPr>
        <w:spacing w:after="0" w:line="158" w:lineRule="exact"/>
        <w:rPr>
          <w:sz w:val="24"/>
          <w:szCs w:val="24"/>
          <w:color w:val="auto"/>
        </w:rPr>
      </w:pPr>
    </w:p>
    <w:p>
      <w:pPr>
        <w:ind w:right="360"/>
        <w:spacing w:after="0" w:line="239" w:lineRule="auto"/>
        <w:rPr>
          <w:sz w:val="20"/>
          <w:szCs w:val="20"/>
          <w:color w:val="auto"/>
        </w:rPr>
      </w:pPr>
      <w:r>
        <w:rPr>
          <w:rFonts w:ascii="Arial" w:cs="Arial" w:eastAsia="Arial" w:hAnsi="Arial"/>
          <w:sz w:val="18"/>
          <w:szCs w:val="18"/>
          <w:color w:val="auto"/>
        </w:rPr>
        <w:t>Our common stock is listed on The Nasdaq Global Market under the symbol “ACPW.” On February 18, 2010, the last reported sale price of our common stock on The Nasdaq Global Market was $0.93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ind w:right="120"/>
        <w:spacing w:after="0" w:line="233" w:lineRule="auto"/>
        <w:rPr>
          <w:rFonts w:ascii="Arial" w:cs="Arial" w:eastAsia="Arial" w:hAnsi="Arial"/>
          <w:sz w:val="22"/>
          <w:szCs w:val="22"/>
          <w:color w:val="auto"/>
        </w:rPr>
      </w:pPr>
      <w:r>
        <w:rPr>
          <w:rFonts w:ascii="Arial" w:cs="Arial" w:eastAsia="Arial" w:hAnsi="Arial"/>
          <w:sz w:val="22"/>
          <w:szCs w:val="22"/>
          <w:color w:val="auto"/>
        </w:rPr>
        <w:t>INVESTING IN OUR COMMON STOCK INVOLVES A HIGH DEGREE OF RISK. SEE “</w:t>
      </w:r>
      <w:hyperlink w:anchor="page9">
        <w:r>
          <w:rPr>
            <w:rFonts w:ascii="Arial" w:cs="Arial" w:eastAsia="Arial" w:hAnsi="Arial"/>
            <w:sz w:val="22"/>
            <w:szCs w:val="22"/>
            <w:u w:val="single" w:color="auto"/>
            <w:color w:val="0000EE"/>
          </w:rPr>
          <w:t>RISK FACTORS</w:t>
        </w:r>
      </w:hyperlink>
      <w:r>
        <w:rPr>
          <w:rFonts w:ascii="Arial" w:cs="Arial" w:eastAsia="Arial" w:hAnsi="Arial"/>
          <w:sz w:val="22"/>
          <w:szCs w:val="22"/>
          <w:color w:val="auto"/>
        </w:rPr>
        <w:t>” BEGINNING ON PAGE S-5 OF THIS PROSPECTUS SUPPLEMENT. YOU SHOULD READ THIS PROSPECTUS SUPPLEMENT, THE ACCOMPANYING PROSPECTUS, AND THE DOCUMENTS INCORPORATED BY REFERENCE INTO THIS PROSPECTUS SUPPLEMENT AND THE ACCOMPANYING PROSPECTUS CAREFULLY BEFORE YOU MAKE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3920" w:type="dxa"/>
            <w:vAlign w:val="bottom"/>
            <w:gridSpan w:val="2"/>
          </w:tcPr>
          <w:p>
            <w:pPr>
              <w:jc w:val="right"/>
              <w:ind w:right="332"/>
              <w:spacing w:after="0"/>
              <w:rPr>
                <w:sz w:val="20"/>
                <w:szCs w:val="20"/>
                <w:color w:val="auto"/>
              </w:rPr>
            </w:pPr>
            <w:r>
              <w:rPr>
                <w:rFonts w:ascii="Arial" w:cs="Arial" w:eastAsia="Arial" w:hAnsi="Arial"/>
                <w:sz w:val="18"/>
                <w:szCs w:val="18"/>
                <w:color w:val="auto"/>
              </w:rPr>
              <w:t>Per Share</w:t>
            </w:r>
          </w:p>
        </w:tc>
        <w:tc>
          <w:tcPr>
            <w:tcW w:w="54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Total</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2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0.750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9,922,125.00</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0.045</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595,327.50</w:t>
            </w:r>
          </w:p>
        </w:tc>
      </w:tr>
      <w:tr>
        <w:trPr>
          <w:trHeight w:val="211"/>
        </w:trPr>
        <w:tc>
          <w:tcPr>
            <w:tcW w:w="58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2"/>
              <w:spacing w:after="0"/>
              <w:rPr>
                <w:sz w:val="20"/>
                <w:szCs w:val="20"/>
                <w:color w:val="auto"/>
              </w:rPr>
            </w:pPr>
            <w:r>
              <w:rPr>
                <w:rFonts w:ascii="Arial" w:cs="Arial" w:eastAsia="Arial" w:hAnsi="Arial"/>
                <w:sz w:val="18"/>
                <w:szCs w:val="18"/>
                <w:color w:val="auto"/>
              </w:rPr>
              <w:t>0.705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9,326,797.50</w:t>
            </w:r>
          </w:p>
        </w:tc>
      </w:tr>
    </w:tbl>
    <w:p>
      <w:pPr>
        <w:spacing w:after="0" w:line="132" w:lineRule="exact"/>
        <w:rPr>
          <w:sz w:val="24"/>
          <w:szCs w:val="24"/>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4"/>
          <w:szCs w:val="24"/>
          <w:color w:val="auto"/>
        </w:rPr>
      </w:pPr>
    </w:p>
    <w:p>
      <w:pPr>
        <w:ind w:left="3480"/>
        <w:spacing w:after="0"/>
        <w:rPr>
          <w:sz w:val="20"/>
          <w:szCs w:val="20"/>
          <w:color w:val="auto"/>
        </w:rPr>
      </w:pPr>
      <w:r>
        <w:rPr>
          <w:rFonts w:ascii="Arial" w:cs="Arial" w:eastAsia="Arial" w:hAnsi="Arial"/>
          <w:sz w:val="32"/>
          <w:szCs w:val="32"/>
          <w:b w:val="1"/>
          <w:bCs w:val="1"/>
          <w:color w:val="auto"/>
        </w:rPr>
        <w:t>Thomas Weisel Partners LLC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The date of this prospectus supplement is February 19,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4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5"/>
              </w:rPr>
              <w:t>PROSPECTUS SUPPLEMENT</w:t>
            </w:r>
          </w:p>
        </w:tc>
        <w:tc>
          <w:tcPr>
            <w:tcW w:w="0" w:type="dxa"/>
            <w:vAlign w:val="bottom"/>
          </w:tcPr>
          <w:p>
            <w:pPr>
              <w:spacing w:after="0"/>
              <w:rPr>
                <w:sz w:val="1"/>
                <w:szCs w:val="1"/>
                <w:color w:val="auto"/>
              </w:rPr>
            </w:pPr>
          </w:p>
        </w:tc>
      </w:tr>
      <w:tr>
        <w:trPr>
          <w:trHeight w:val="353"/>
        </w:trPr>
        <w:tc>
          <w:tcPr>
            <w:tcW w:w="380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72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3800" w:type="dxa"/>
            <w:vAlign w:val="bottom"/>
            <w:gridSpan w:val="16"/>
            <w:vMerge w:val="continue"/>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360" w:type="dxa"/>
            <w:vAlign w:val="bottom"/>
            <w:tcBorders>
              <w:top w:val="single" w:sz="8" w:color="0000EE"/>
            </w:tcBorders>
          </w:tcPr>
          <w:p>
            <w:pPr>
              <w:spacing w:after="0"/>
              <w:rPr>
                <w:sz w:val="17"/>
                <w:szCs w:val="17"/>
                <w:color w:val="auto"/>
              </w:rPr>
            </w:pPr>
          </w:p>
        </w:tc>
        <w:tc>
          <w:tcPr>
            <w:tcW w:w="1000" w:type="dxa"/>
            <w:vAlign w:val="bottom"/>
            <w:gridSpan w:val="2"/>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1420" w:type="dxa"/>
            <w:vAlign w:val="bottom"/>
            <w:gridSpan w:val="4"/>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 Regarding Forward-Looking Statements</w:t>
              </w:r>
            </w:hyperlink>
          </w:p>
        </w:tc>
        <w:tc>
          <w:tcPr>
            <w:tcW w:w="56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2900" w:type="dxa"/>
            <w:vAlign w:val="bottom"/>
            <w:gridSpan w:val="13"/>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Dilution</w:t>
              </w:r>
            </w:hyperlink>
          </w:p>
        </w:tc>
        <w:tc>
          <w:tcPr>
            <w:tcW w:w="540" w:type="dxa"/>
            <w:vAlign w:val="bottom"/>
            <w:tcBorders>
              <w:top w:val="single" w:sz="8" w:color="0000EE"/>
            </w:tcBorders>
            <w:gridSpan w:val="4"/>
          </w:tcPr>
          <w:p>
            <w:pPr>
              <w:spacing w:after="0"/>
              <w:rPr>
                <w:sz w:val="17"/>
                <w:szCs w:val="17"/>
                <w:color w:val="auto"/>
              </w:rPr>
            </w:pPr>
          </w:p>
        </w:tc>
        <w:tc>
          <w:tcPr>
            <w:tcW w:w="2660" w:type="dxa"/>
            <w:vAlign w:val="bottom"/>
            <w:gridSpan w:val="10"/>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Underwriting</w:t>
              </w:r>
            </w:hyperlink>
          </w:p>
        </w:tc>
        <w:tc>
          <w:tcPr>
            <w:tcW w:w="2840" w:type="dxa"/>
            <w:vAlign w:val="bottom"/>
            <w:gridSpan w:val="12"/>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2820" w:type="dxa"/>
            <w:vAlign w:val="bottom"/>
            <w:gridSpan w:val="11"/>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ACCOMPANYING PROSPECTUS</w:t>
            </w:r>
          </w:p>
        </w:tc>
        <w:tc>
          <w:tcPr>
            <w:tcW w:w="0" w:type="dxa"/>
            <w:vAlign w:val="bottom"/>
          </w:tcPr>
          <w:p>
            <w:pPr>
              <w:spacing w:after="0"/>
              <w:rPr>
                <w:sz w:val="1"/>
                <w:szCs w:val="1"/>
                <w:color w:val="auto"/>
              </w:rPr>
            </w:pPr>
          </w:p>
        </w:tc>
      </w:tr>
      <w:tr>
        <w:trPr>
          <w:trHeight w:val="353"/>
        </w:trPr>
        <w:tc>
          <w:tcPr>
            <w:tcW w:w="3800" w:type="dxa"/>
            <w:vAlign w:val="bottom"/>
            <w:gridSpan w:val="16"/>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800" w:type="dxa"/>
            <w:vAlign w:val="bottom"/>
            <w:gridSpan w:val="16"/>
            <w:vMerge w:val="continue"/>
          </w:tcPr>
          <w:p>
            <w:pPr>
              <w:spacing w:after="0"/>
              <w:rPr>
                <w:sz w:val="14"/>
                <w:szCs w:val="14"/>
                <w:color w:val="auto"/>
              </w:rPr>
            </w:pPr>
          </w:p>
        </w:tc>
        <w:tc>
          <w:tcPr>
            <w:tcW w:w="7340" w:type="dxa"/>
            <w:vAlign w:val="bottom"/>
            <w:gridSpan w:val="2"/>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1000" w:type="dxa"/>
            <w:vAlign w:val="bottom"/>
            <w:gridSpan w:val="2"/>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Note Regarding Forward-Looking Statements</w:t>
              </w:r>
            </w:hyperlink>
          </w:p>
        </w:tc>
        <w:tc>
          <w:tcPr>
            <w:tcW w:w="560" w:type="dxa"/>
            <w:vAlign w:val="bottom"/>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2900" w:type="dxa"/>
            <w:vAlign w:val="bottom"/>
            <w:gridSpan w:val="13"/>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 We May Offer</w:t>
              </w:r>
            </w:hyperlink>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040" w:type="dxa"/>
            <w:vAlign w:val="bottom"/>
            <w:gridSpan w:val="7"/>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Description of Common Stock</w:t>
              </w:r>
            </w:hyperlink>
          </w:p>
        </w:tc>
        <w:tc>
          <w:tcPr>
            <w:tcW w:w="1640" w:type="dxa"/>
            <w:vAlign w:val="bottom"/>
            <w:gridSpan w:val="5"/>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Warrants</w:t>
              </w:r>
            </w:hyperlink>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1860" w:type="dxa"/>
            <w:vAlign w:val="bottom"/>
            <w:gridSpan w:val="6"/>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400" w:type="dxa"/>
            <w:vAlign w:val="bottom"/>
            <w:gridSpan w:val="9"/>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820" w:type="dxa"/>
            <w:vAlign w:val="bottom"/>
            <w:gridSpan w:val="11"/>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You should rely only on the information contained in this prospectus supplement, the accompanying prospectus and the documents we incorporate by reference in this prospectus supplement and the accompanying prospectus. We have not authorized anyone to provide you with information different from that contained or incorporated by reference in this prospectus supplement and the accompanying prospectus. If anyone provides you with different or additional information, you should not rely on it. You should assume that the information contained in this prospectus supplement and the accompanying prospectus, as well as the information that we have filed with the Securities and Exchange Commission, or the SEC, and incorporated by reference herein and therein, is accurate only as of the date of the applicable document. This prospectus supplement and the accompanying prospectus do not constitute an offer or solicitation by anyone in any jurisdiction in which an offer or solicitation is not authorized or in which the person making an offer or solicitation is not qualified to do so, or to anyone to whom it is unlawful to make an offer or solicitation.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file reports, proxy statements and other information with the Securities and Exchange Commission, or the Commission, in accordance with the Securities Exchange Act of 1934, or the Exchange Act. You may read and copy our reports, proxy statements and other information filed by us at the Public Reference Room of the Commission at 100 F Street, N.E., Washington, D.C. 20549. Please call the Commission at 1-800-SEC-0330 for further information about the Public Reference Room. Our reports, proxy statements and other information filed with the Commission are available to the public over the Internet at the Commission’s website at www.sec.gov and on our Internet website at http://www.activepower.com. Information contained on our website does not constitute part of this prospectus supplement or the accompanying prospectus.</w:t>
      </w:r>
    </w:p>
    <w:p>
      <w:pPr>
        <w:spacing w:after="0" w:line="120" w:lineRule="exact"/>
        <w:rPr>
          <w:sz w:val="20"/>
          <w:szCs w:val="20"/>
          <w:color w:val="auto"/>
        </w:rPr>
      </w:pPr>
    </w:p>
    <w:p>
      <w:pPr>
        <w:ind w:right="160" w:firstLine="228"/>
        <w:spacing w:after="0" w:line="253" w:lineRule="auto"/>
        <w:rPr>
          <w:sz w:val="20"/>
          <w:szCs w:val="20"/>
          <w:color w:val="auto"/>
        </w:rPr>
      </w:pPr>
      <w:r>
        <w:rPr>
          <w:rFonts w:ascii="Arial" w:cs="Arial" w:eastAsia="Arial" w:hAnsi="Arial"/>
          <w:sz w:val="18"/>
          <w:szCs w:val="18"/>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supplement and the accompanying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supplement but before the end of any offering made under this prospectus supplement and the accompanying prospectus (other than current reports or portions thereof furnished under Item 2.02 or 7.01 of Form 8-K, unless such current reports or portions thereof specifically reference their contents as being filed):</w:t>
      </w:r>
    </w:p>
    <w:p>
      <w:pPr>
        <w:spacing w:after="0" w:line="66" w:lineRule="exact"/>
        <w:rPr>
          <w:sz w:val="20"/>
          <w:szCs w:val="20"/>
          <w:color w:val="auto"/>
        </w:rPr>
      </w:pPr>
    </w:p>
    <w:p>
      <w:pPr>
        <w:ind w:left="440" w:hanging="216"/>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440" w:right="840" w:hanging="216"/>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3, 2009, as amended by that certain Amendment No. 1 to Form 10-K filed with the SEC on October 28, 2009;</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17, 2009, May 14, 2009, June 1, 2009, July 6, 2009 and October 29, 2009.</w:t>
      </w:r>
    </w:p>
    <w:p>
      <w:pPr>
        <w:spacing w:after="0" w:line="171"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580" w:right="5140" w:hanging="415"/>
        <w:spacing w:after="0" w:line="517" w:lineRule="auto"/>
        <w:tabs>
          <w:tab w:leader="none" w:pos="5582" w:val="left"/>
        </w:tabs>
        <w:numPr>
          <w:ilvl w:val="0"/>
          <w:numId w:val="2"/>
        </w:numPr>
        <w:rPr>
          <w:rFonts w:ascii="Arial" w:cs="Arial" w:eastAsia="Arial" w:hAnsi="Arial"/>
          <w:sz w:val="16"/>
          <w:szCs w:val="16"/>
          <w:color w:val="auto"/>
        </w:rPr>
      </w:pPr>
      <w:r>
        <w:rPr>
          <w:rFonts w:ascii="Arial" w:cs="Arial" w:eastAsia="Arial" w:hAnsi="Arial"/>
          <w:sz w:val="16"/>
          <w:szCs w:val="16"/>
          <w:color w:val="auto"/>
        </w:rPr>
        <w:t>836-6464 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This document is in two parts. The first part is the prospectus supplement, which describes the specific terms of the securities we are offering and also adds to and updates information contained in the accompanying prospectus and the documents incorporated by reference into the accompanying prospectus. The second part, the accompanying prospectus, including the documents incorporated by reference,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20"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We own the registered trademarks ACTIVE POWER, CLEANSOURCE and COOLAIR in the United States and abroad. The ACTIVE POWER logo is a trademark of Active Power. All other trademarks, service marks or trade names referred to in this prospectus supplement and the accompanying prospectus are the property of their respective owners.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40" w:firstLine="221"/>
        <w:spacing w:after="0" w:line="290" w:lineRule="auto"/>
        <w:rPr>
          <w:rFonts w:ascii="Arial" w:cs="Arial" w:eastAsia="Arial" w:hAnsi="Arial"/>
          <w:sz w:val="16"/>
          <w:szCs w:val="16"/>
          <w:i w:val="1"/>
          <w:iCs w:val="1"/>
          <w:color w:val="auto"/>
        </w:rPr>
      </w:pPr>
      <w:r>
        <w:rPr>
          <w:rFonts w:ascii="Arial" w:cs="Arial" w:eastAsia="Arial" w:hAnsi="Arial"/>
          <w:sz w:val="16"/>
          <w:szCs w:val="16"/>
          <w:i w:val="1"/>
          <w:iCs w:val="1"/>
          <w:color w:val="auto"/>
        </w:rPr>
        <w:t>This summary highlights information contained in this prospectus supplement, the accompanying prospectus or incorporated by reference. While we have included what we believe to be the most important information about the company and this offering, the following summary may not contain all the information that may be important to you. Before you decide to make an investment, you should read this entire prospectus supplement and accompanying prospectus carefully, including the risks of investing discussed under “</w:t>
      </w:r>
      <w:hyperlink w:anchor="page9">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beginning on page S-5 of this prospectus supplement, and the information to which we refer you and the information incorporated into this prospectus supplement by reference, for a complete understanding of our business, this offering and the investment you are contemplating. Unless the context otherwise requires, the terms “Active Power,” “we,” “us,” “the Company” and “our” refer to Active Power, Inc., a Delaware corporation.</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left="200" w:firstLine="221"/>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left="200" w:firstLine="221"/>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23" w:lineRule="exact"/>
        <w:rPr>
          <w:sz w:val="20"/>
          <w:szCs w:val="20"/>
          <w:color w:val="auto"/>
        </w:rPr>
      </w:pPr>
    </w:p>
    <w:p>
      <w:pPr>
        <w:ind w:left="200" w:right="300" w:firstLine="221"/>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620" w:hanging="20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2009 Fourth Quarter and Full Year Results</w:t>
      </w:r>
    </w:p>
    <w:p>
      <w:pPr>
        <w:spacing w:after="0" w:line="177" w:lineRule="exact"/>
        <w:rPr>
          <w:sz w:val="20"/>
          <w:szCs w:val="20"/>
          <w:color w:val="auto"/>
        </w:rPr>
      </w:pPr>
    </w:p>
    <w:p>
      <w:pPr>
        <w:ind w:left="200" w:right="340" w:firstLine="221"/>
        <w:spacing w:after="0" w:line="298" w:lineRule="auto"/>
        <w:rPr>
          <w:sz w:val="20"/>
          <w:szCs w:val="20"/>
          <w:color w:val="auto"/>
        </w:rPr>
      </w:pPr>
      <w:r>
        <w:rPr>
          <w:rFonts w:ascii="Arial" w:cs="Arial" w:eastAsia="Arial" w:hAnsi="Arial"/>
          <w:sz w:val="16"/>
          <w:szCs w:val="16"/>
          <w:color w:val="auto"/>
        </w:rPr>
        <w:t>On February 9, 2010, we announced our operating results for the fourth quarter and fiscal year ended December 31, 2009. Our revenue for the fourth quarter 2009 was $14.0 million, an increase of 64% compared to the third quarter 2009, and a decrease of 14% compared to the fourth quarter of 2008. Our net loss for the fourth quarter 2009 was $2.2 million, or 3 cents per share, compared to a net loss of $3.0 million, or 4 cents per share, for the third quarter 2009, and a net loss of $431,000, or 1 cent per share, for the fourth quarter 2008.</w:t>
      </w:r>
    </w:p>
    <w:p>
      <w:pPr>
        <w:spacing w:after="0" w:line="113" w:lineRule="exact"/>
        <w:rPr>
          <w:sz w:val="20"/>
          <w:szCs w:val="20"/>
          <w:color w:val="auto"/>
        </w:rPr>
      </w:pPr>
    </w:p>
    <w:p>
      <w:pPr>
        <w:ind w:left="200" w:right="320" w:firstLine="221"/>
        <w:spacing w:after="0" w:line="268" w:lineRule="auto"/>
        <w:rPr>
          <w:sz w:val="20"/>
          <w:szCs w:val="20"/>
          <w:color w:val="auto"/>
        </w:rPr>
      </w:pPr>
      <w:r>
        <w:rPr>
          <w:rFonts w:ascii="Arial" w:cs="Arial" w:eastAsia="Arial" w:hAnsi="Arial"/>
          <w:sz w:val="18"/>
          <w:szCs w:val="18"/>
          <w:color w:val="auto"/>
        </w:rPr>
        <w:t>Our revenue for 2009 was $40.3 million, compared to $43.0 million in 2008. Our net loss for 2009 was $11.0 million, or 17 cents per share, compared to $13.4 million, or 22 cents per share, in 2008.</w:t>
      </w:r>
    </w:p>
    <w:p>
      <w:pPr>
        <w:spacing w:after="0" w:line="132" w:lineRule="exact"/>
        <w:rPr>
          <w:sz w:val="20"/>
          <w:szCs w:val="20"/>
          <w:color w:val="auto"/>
        </w:rPr>
      </w:pPr>
    </w:p>
    <w:p>
      <w:pPr>
        <w:ind w:left="200" w:right="200" w:firstLine="221"/>
        <w:spacing w:after="0" w:line="332" w:lineRule="auto"/>
        <w:rPr>
          <w:sz w:val="20"/>
          <w:szCs w:val="20"/>
          <w:color w:val="auto"/>
        </w:rPr>
      </w:pPr>
      <w:r>
        <w:rPr>
          <w:rFonts w:ascii="Arial" w:cs="Arial" w:eastAsia="Arial" w:hAnsi="Arial"/>
          <w:sz w:val="16"/>
          <w:szCs w:val="16"/>
          <w:color w:val="auto"/>
        </w:rPr>
        <w:t>Cash and investments decreased by $0.5 million during the fourth quarter 2009 to $7.5 million at December 31, 2009. This compares to a decrease in cash and investments balance of $3.7 million during the third quarter of 2009, and a decrease of $0.6 million during the fourth quarter of 2008.</w:t>
      </w:r>
    </w:p>
    <w:p>
      <w:pPr>
        <w:spacing w:after="0" w:line="85" w:lineRule="exact"/>
        <w:rPr>
          <w:sz w:val="20"/>
          <w:szCs w:val="20"/>
          <w:color w:val="auto"/>
        </w:rPr>
      </w:pPr>
    </w:p>
    <w:p>
      <w:pPr>
        <w:ind w:left="200" w:right="500" w:firstLine="221"/>
        <w:spacing w:after="0" w:line="268" w:lineRule="auto"/>
        <w:rPr>
          <w:sz w:val="20"/>
          <w:szCs w:val="20"/>
          <w:color w:val="auto"/>
        </w:rPr>
      </w:pPr>
      <w:r>
        <w:rPr>
          <w:rFonts w:ascii="Arial" w:cs="Arial" w:eastAsia="Arial" w:hAnsi="Arial"/>
          <w:sz w:val="18"/>
          <w:szCs w:val="18"/>
          <w:color w:val="auto"/>
        </w:rPr>
        <w:t>Our total net current assets as of December 31, 2009 were $11.7 million, compared to $12.9 million as of September 30, 2009. Our total stockholders’ equity as of December 31, 2009 was $14.5 million, compared to $15.9 million as of September 30,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ind w:left="200" w:right="320" w:firstLine="221"/>
        <w:spacing w:after="0" w:line="294"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 Our website address is www.activepower.com and we make our periodic and current reports that are filed with the Securities and Exchange Commission available, free of charge, on our website as soon as reasonably practicable after such material is electronically filed with, or furnished to, the Securities and Exchange Commission. Information contained on our website does not constitute part of this prospectus supplement or the accompanying prospectus.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trades on The Nasdaq Global Market under the symbol “ACPW.”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7320" w:type="dxa"/>
            <w:vAlign w:val="bottom"/>
          </w:tcPr>
          <w:p>
            <w:pPr>
              <w:ind w:left="1100"/>
              <w:spacing w:after="0"/>
              <w:rPr>
                <w:sz w:val="20"/>
                <w:szCs w:val="20"/>
                <w:color w:val="auto"/>
              </w:rPr>
            </w:pPr>
            <w:r>
              <w:rPr>
                <w:rFonts w:ascii="Arial" w:cs="Arial" w:eastAsia="Arial" w:hAnsi="Arial"/>
                <w:sz w:val="18"/>
                <w:szCs w:val="18"/>
                <w:b w:val="1"/>
                <w:bCs w:val="1"/>
                <w:color w:val="auto"/>
              </w:rPr>
              <w:t>The Offering</w:t>
            </w:r>
          </w:p>
        </w:tc>
      </w:tr>
      <w:tr>
        <w:trPr>
          <w:trHeight w:val="486"/>
        </w:trPr>
        <w:tc>
          <w:tcPr>
            <w:tcW w:w="4140" w:type="dxa"/>
            <w:vAlign w:val="bottom"/>
          </w:tcPr>
          <w:p>
            <w:pPr>
              <w:ind w:left="200"/>
              <w:spacing w:after="0"/>
              <w:rPr>
                <w:sz w:val="20"/>
                <w:szCs w:val="20"/>
                <w:color w:val="auto"/>
              </w:rPr>
            </w:pPr>
            <w:r>
              <w:rPr>
                <w:rFonts w:ascii="Arial" w:cs="Arial" w:eastAsia="Arial" w:hAnsi="Arial"/>
                <w:sz w:val="18"/>
                <w:szCs w:val="18"/>
                <w:color w:val="auto"/>
              </w:rPr>
              <w:t>Shares of common stock we are offering</w:t>
            </w:r>
          </w:p>
        </w:tc>
        <w:tc>
          <w:tcPr>
            <w:tcW w:w="7320" w:type="dxa"/>
            <w:vAlign w:val="bottom"/>
          </w:tcPr>
          <w:p>
            <w:pPr>
              <w:ind w:left="1940"/>
              <w:spacing w:after="0"/>
              <w:rPr>
                <w:sz w:val="20"/>
                <w:szCs w:val="20"/>
                <w:color w:val="auto"/>
              </w:rPr>
            </w:pPr>
            <w:r>
              <w:rPr>
                <w:rFonts w:ascii="Arial" w:cs="Arial" w:eastAsia="Arial" w:hAnsi="Arial"/>
                <w:sz w:val="18"/>
                <w:szCs w:val="18"/>
                <w:color w:val="auto"/>
              </w:rPr>
              <w:t>13,229,500 shares</w:t>
            </w:r>
          </w:p>
        </w:tc>
      </w:tr>
      <w:tr>
        <w:trPr>
          <w:trHeight w:val="284"/>
        </w:trPr>
        <w:tc>
          <w:tcPr>
            <w:tcW w:w="11460" w:type="dxa"/>
            <w:vAlign w:val="bottom"/>
            <w:gridSpan w:val="2"/>
          </w:tcPr>
          <w:p>
            <w:pPr>
              <w:ind w:left="200"/>
              <w:spacing w:after="0"/>
              <w:rPr>
                <w:sz w:val="20"/>
                <w:szCs w:val="20"/>
                <w:color w:val="auto"/>
              </w:rPr>
            </w:pPr>
            <w:r>
              <w:rPr>
                <w:rFonts w:ascii="Arial" w:cs="Arial" w:eastAsia="Arial" w:hAnsi="Arial"/>
                <w:sz w:val="18"/>
                <w:szCs w:val="18"/>
                <w:color w:val="auto"/>
              </w:rPr>
              <w:t>Shares of common stock to be outstanding immediately after this offering</w:t>
            </w:r>
          </w:p>
        </w:tc>
      </w:tr>
      <w:tr>
        <w:trPr>
          <w:trHeight w:val="392"/>
        </w:trPr>
        <w:tc>
          <w:tcPr>
            <w:tcW w:w="4140" w:type="dxa"/>
            <w:vAlign w:val="bottom"/>
          </w:tcPr>
          <w:p>
            <w:pPr>
              <w:spacing w:after="0"/>
              <w:rPr>
                <w:sz w:val="24"/>
                <w:szCs w:val="24"/>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rPr>
              <w:t>79,708,123 shares</w:t>
            </w:r>
          </w:p>
        </w:tc>
      </w:tr>
      <w:tr>
        <w:trPr>
          <w:trHeight w:val="277"/>
        </w:trPr>
        <w:tc>
          <w:tcPr>
            <w:tcW w:w="414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320" w:type="dxa"/>
            <w:vAlign w:val="bottom"/>
          </w:tcPr>
          <w:p>
            <w:pPr>
              <w:ind w:left="1940"/>
              <w:spacing w:after="0"/>
              <w:rPr>
                <w:sz w:val="20"/>
                <w:szCs w:val="20"/>
                <w:color w:val="auto"/>
              </w:rPr>
            </w:pPr>
            <w:r>
              <w:rPr>
                <w:rFonts w:ascii="Arial" w:cs="Arial" w:eastAsia="Arial" w:hAnsi="Arial"/>
                <w:sz w:val="18"/>
                <w:szCs w:val="18"/>
                <w:color w:val="auto"/>
                <w:w w:val="97"/>
              </w:rPr>
              <w:t>We currently intend to use the net proceeds from this offering to fund</w:t>
            </w:r>
          </w:p>
        </w:tc>
      </w:tr>
      <w:tr>
        <w:trPr>
          <w:trHeight w:val="216"/>
        </w:trPr>
        <w:tc>
          <w:tcPr>
            <w:tcW w:w="4140" w:type="dxa"/>
            <w:vAlign w:val="bottom"/>
          </w:tcPr>
          <w:p>
            <w:pPr>
              <w:spacing w:after="0"/>
              <w:rPr>
                <w:sz w:val="18"/>
                <w:szCs w:val="18"/>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w w:val="97"/>
              </w:rPr>
              <w:t>working capital requirements and general corporate purposes and as</w:t>
            </w:r>
          </w:p>
        </w:tc>
      </w:tr>
      <w:tr>
        <w:trPr>
          <w:trHeight w:val="216"/>
        </w:trPr>
        <w:tc>
          <w:tcPr>
            <w:tcW w:w="4140" w:type="dxa"/>
            <w:vAlign w:val="bottom"/>
          </w:tcPr>
          <w:p>
            <w:pPr>
              <w:spacing w:after="0"/>
              <w:rPr>
                <w:sz w:val="18"/>
                <w:szCs w:val="18"/>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w w:val="93"/>
              </w:rPr>
              <w:t>further described in this prospectus supplement under the heading “Use</w:t>
            </w:r>
          </w:p>
        </w:tc>
      </w:tr>
      <w:tr>
        <w:trPr>
          <w:trHeight w:val="222"/>
        </w:trPr>
        <w:tc>
          <w:tcPr>
            <w:tcW w:w="4140" w:type="dxa"/>
            <w:vAlign w:val="bottom"/>
          </w:tcPr>
          <w:p>
            <w:pPr>
              <w:spacing w:after="0"/>
              <w:rPr>
                <w:sz w:val="19"/>
                <w:szCs w:val="19"/>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rPr>
              <w:t>of Proceeds.”</w:t>
            </w:r>
          </w:p>
        </w:tc>
      </w:tr>
      <w:tr>
        <w:trPr>
          <w:trHeight w:val="161"/>
        </w:trPr>
        <w:tc>
          <w:tcPr>
            <w:tcW w:w="4140" w:type="dxa"/>
            <w:vAlign w:val="bottom"/>
            <w:tcBorders>
              <w:bottom w:val="single" w:sz="8" w:color="auto"/>
            </w:tcBorders>
          </w:tcPr>
          <w:p>
            <w:pPr>
              <w:spacing w:after="0"/>
              <w:rPr>
                <w:sz w:val="13"/>
                <w:szCs w:val="13"/>
                <w:color w:val="auto"/>
              </w:rPr>
            </w:pPr>
          </w:p>
        </w:tc>
        <w:tc>
          <w:tcPr>
            <w:tcW w:w="7320" w:type="dxa"/>
            <w:vAlign w:val="bottom"/>
            <w:tcBorders>
              <w:bottom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327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23279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6920" w:type="dxa"/>
            <w:vAlign w:val="bottom"/>
            <w:gridSpan w:val="3"/>
          </w:tcPr>
          <w:p>
            <w:pPr>
              <w:ind w:left="1860"/>
              <w:spacing w:after="0"/>
              <w:rPr>
                <w:rFonts w:ascii="Arial" w:cs="Arial" w:eastAsia="Arial" w:hAnsi="Arial"/>
                <w:sz w:val="18"/>
                <w:szCs w:val="18"/>
                <w:color w:val="auto"/>
                <w:w w:val="98"/>
              </w:rPr>
            </w:pPr>
            <w:r>
              <w:rPr>
                <w:rFonts w:ascii="Arial" w:cs="Arial" w:eastAsia="Arial" w:hAnsi="Arial"/>
                <w:sz w:val="18"/>
                <w:szCs w:val="18"/>
                <w:color w:val="auto"/>
                <w:w w:val="98"/>
              </w:rPr>
              <w:t>See the “</w:t>
            </w:r>
            <w:hyperlink w:anchor="page9">
              <w:r>
                <w:rPr>
                  <w:rFonts w:ascii="Arial" w:cs="Arial" w:eastAsia="Arial" w:hAnsi="Arial"/>
                  <w:sz w:val="18"/>
                  <w:szCs w:val="18"/>
                  <w:color w:val="0000EE"/>
                  <w:w w:val="98"/>
                </w:rPr>
                <w:t>Risk Factors</w:t>
              </w:r>
            </w:hyperlink>
            <w:r>
              <w:rPr>
                <w:rFonts w:ascii="Arial" w:cs="Arial" w:eastAsia="Arial" w:hAnsi="Arial"/>
                <w:sz w:val="18"/>
                <w:szCs w:val="18"/>
                <w:color w:val="auto"/>
                <w:w w:val="98"/>
              </w:rPr>
              <w:t>” beginning on page S-5 of this prospectus</w:t>
            </w:r>
          </w:p>
        </w:tc>
      </w:t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8"/>
        </w:trPr>
        <w:tc>
          <w:tcPr>
            <w:tcW w:w="4020" w:type="dxa"/>
            <w:vAlign w:val="bottom"/>
          </w:tcPr>
          <w:p>
            <w:pPr>
              <w:spacing w:after="0"/>
              <w:rPr>
                <w:sz w:val="19"/>
                <w:szCs w:val="19"/>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w w:val="86"/>
              </w:rPr>
              <w:t>supplement and the accompanying prospectus, as well as the documents</w:t>
            </w:r>
          </w:p>
        </w:tc>
      </w:tr>
      <w:tr>
        <w:trPr>
          <w:trHeight w:val="216"/>
        </w:trPr>
        <w:tc>
          <w:tcPr>
            <w:tcW w:w="4020" w:type="dxa"/>
            <w:vAlign w:val="bottom"/>
          </w:tcPr>
          <w:p>
            <w:pPr>
              <w:spacing w:after="0"/>
              <w:rPr>
                <w:sz w:val="18"/>
                <w:szCs w:val="18"/>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rPr>
              <w:t>we file with the Securities and Exchange Commission that are</w:t>
            </w:r>
          </w:p>
        </w:tc>
      </w:tr>
      <w:tr>
        <w:trPr>
          <w:trHeight w:val="216"/>
        </w:trPr>
        <w:tc>
          <w:tcPr>
            <w:tcW w:w="4020" w:type="dxa"/>
            <w:vAlign w:val="bottom"/>
          </w:tcPr>
          <w:p>
            <w:pPr>
              <w:spacing w:after="0"/>
              <w:rPr>
                <w:sz w:val="18"/>
                <w:szCs w:val="18"/>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w w:val="88"/>
              </w:rPr>
              <w:t>incorporated by reference in this prospectus, for a discussion of the risk</w:t>
            </w:r>
          </w:p>
        </w:tc>
      </w:tr>
      <w:tr>
        <w:trPr>
          <w:trHeight w:val="222"/>
        </w:trPr>
        <w:tc>
          <w:tcPr>
            <w:tcW w:w="4020" w:type="dxa"/>
            <w:vAlign w:val="bottom"/>
          </w:tcPr>
          <w:p>
            <w:pPr>
              <w:spacing w:after="0"/>
              <w:rPr>
                <w:sz w:val="19"/>
                <w:szCs w:val="19"/>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w w:val="93"/>
              </w:rPr>
              <w:t>factors to be considered before deciding to purchase our securities.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rPr>
              <w:t>ACPW</w:t>
            </w:r>
          </w:p>
        </w:tc>
      </w:tr>
    </w:tbl>
    <w:p>
      <w:pPr>
        <w:spacing w:after="0" w:line="156" w:lineRule="exact"/>
        <w:rPr>
          <w:sz w:val="20"/>
          <w:szCs w:val="20"/>
          <w:color w:val="auto"/>
        </w:rPr>
      </w:pPr>
    </w:p>
    <w:p>
      <w:pPr>
        <w:ind w:left="200" w:firstLine="221"/>
        <w:spacing w:after="0" w:line="268" w:lineRule="auto"/>
        <w:rPr>
          <w:sz w:val="20"/>
          <w:szCs w:val="20"/>
          <w:color w:val="auto"/>
        </w:rPr>
      </w:pPr>
      <w:r>
        <w:rPr>
          <w:rFonts w:ascii="Arial" w:cs="Arial" w:eastAsia="Arial" w:hAnsi="Arial"/>
          <w:sz w:val="18"/>
          <w:szCs w:val="18"/>
          <w:color w:val="auto"/>
        </w:rPr>
        <w:t>The number of shares of common stock outstanding immediately after this offering in the table above is based on 66,478,623 shares of our common stock outstanding as of September 30, 2009 and excludes the following, each stated as of September 30, 2009:</w:t>
      </w:r>
    </w:p>
    <w:p>
      <w:pPr>
        <w:spacing w:after="0" w:line="51" w:lineRule="exact"/>
        <w:rPr>
          <w:sz w:val="20"/>
          <w:szCs w:val="20"/>
          <w:color w:val="auto"/>
        </w:rPr>
      </w:pPr>
    </w:p>
    <w:p>
      <w:pPr>
        <w:ind w:left="620" w:hanging="207"/>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5,765,637 shares of our common stock issuable upon the exercise of stock options at a weighted average exercise price of $1.96 per share;</w:t>
      </w:r>
    </w:p>
    <w:p>
      <w:pPr>
        <w:spacing w:after="0" w:line="113" w:lineRule="exact"/>
        <w:rPr>
          <w:rFonts w:ascii="Arial" w:cs="Arial" w:eastAsia="Arial" w:hAnsi="Arial"/>
          <w:sz w:val="16"/>
          <w:szCs w:val="16"/>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3,935,272 shares of common stock reserved for future issuance under our stock plans;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123,013 shares of restricted stock issuable subject to vesting requirements.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stated, all information contained in this prospectus supplement reflects a public offering price of $0.75 per share.</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“Risk Factors,” in our most recent Annual Report on Form 10-K and Quarterly Report on Form 10-Q and in our future filings made with the SEC. Readers are cautioned not to place undue reliance on any forward-looking statements contained herein, which reflect management’s opinions only as of the date hereof. Except as required by law, Active Power undertakes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supplement and the accompanying prospectus.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i w:val="1"/>
          <w:iCs w:val="1"/>
          <w:color w:val="auto"/>
        </w:rPr>
        <w:t>An investment in our securities involves a high degree of risk. You should carefully consider the following risk factors related to the securities offered in this prospectus supplement and to our business and operations. You should also carefully consider the other information contained or incorporated by reference in this prospectus supplement and the accompanying prospectus before you decide to purchase our securities. Some of these factors have affected our financial condition and operating results in the past or are currently affecting us. All of these factors could affect our future financial condition and operating results. The risks and uncertainties described below are not the only risks and uncertainties we face. Additional risks and uncertainties not presently known to us or that we currently deem immaterial also may impair our business operations. If any of the following risks actually occur, our business, results of operations and financial condition could be harmed, the trading price of our securities could decline and you may lose all or part of your investment. The risks set forth below replace and supersede in their entirety the risks set forth beginning on page 5 of the accompanying prospectus. The risks discussed below also include forward-looking statements and our actual results may differ substantially from those discussed in these forward-looking statements.</w:t>
      </w:r>
    </w:p>
    <w:p>
      <w:pPr>
        <w:spacing w:after="0" w:line="19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year. As of December 31, 2008 and September 30, 2009, we had an accumulated deficit of $238.8 million and $247.6 million, respectively. To date, we have funded our operations principally through the public and private sale of our stock, from product and service revenue and from $10.0 million in development funding from Caterpillar. We will need to generate significant additional revenue in order to achieve profitability, and we cannot assure you that we will ever realize such revenue levels or achieve profitability. We also expect to incur product development, sales and marketing and administrative expenses in excess of our product revenue after costs, and, as a result, we expect to continue to incur losses for at least the next year.</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third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Recent economic difficulties in the Unites States credit markets and certain international markets has led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ownership supports customers using and purchasing our equipment, and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orders from our customers and the possibility that customers may change their order requirements with little or no notice to us;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39% in 2006, 2007 and 2008, respectively, and 43% and 35% for the nine-month periods ended September 30, 2008 and 2009, respectively. Our international operations are subject to a number of risks, including:</w:t>
      </w:r>
    </w:p>
    <w:p>
      <w:pPr>
        <w:spacing w:after="0" w:line="59" w:lineRule="exact"/>
        <w:rPr>
          <w:sz w:val="20"/>
          <w:szCs w:val="20"/>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80" w:firstLine="228"/>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35%, 31% and 40% of our revenue during 2006, 2007 and 2008, respectively, and 44% and 31% of our revenue during the nine-month periods ended September 30, 2008 and 2009,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 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decrease our market share. These and other competitive pressures could prevent us from competing successfully against current or future competitors and could materially harm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96"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440" w:right="34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71"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increase in sales of our PowerHouse product may materially increase the amount of liquidity required to fund the Company’s operations.</w:t>
      </w:r>
    </w:p>
    <w:p>
      <w:pPr>
        <w:spacing w:after="0" w:line="119"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A significant increase in sales of our PowerHouse product may materially increase the amount of liquidity required to fund out operations. The amount of time between the receipt of payment from our customers and our expenditures for raw materials, manufacturer and shipment of products (the sales cycle) for sales of our standard UPS product can be as short as 45 days, and is typically 60 days. However, this cash cycle on a PowerHouse sale can be as much as 210 days, depending 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to fund these sales opportunities. These larger investments may require us to obtain additional sources of working capital, debt or equity financing in order to fund this business. If we are unsuccessful at obtaining additional sources of working capital, we may be required to curtail our level of PowerHouse sales or we may lose potential customers, both of which may cause our financial results to not meet the expectations of public market analysts or investors and adversely impact our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are unable to raise sufficient capital in this offering to cover our expected working capital requirements, there could be substantial doubt about our ability to continue as a going concern.</w:t>
      </w:r>
    </w:p>
    <w:p>
      <w:pPr>
        <w:spacing w:after="0" w:line="45"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have had, and continue to have, an ongoing need to raise additional capital from outside sources to fund our operations. If we are unable to raise sufficient capital in this offering to cover our expected working capital requirements, we would need to secure financing through other methods. We may not be able to secure timely additional financing on favorable terms, or at all. If we are unable to secure financing through other methods, we would be required to significantly reduce our operating costs and would likely not be able to grow our revenues, which would adversely affect our results of operations and increase the cash used to fund our operations, and could raise substantial doubt about our ability to continue as a going concern.</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96"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Historically the market price of our common stock has fluctuated significantly. The sales price of our common stock ranged from $.22 to $2.60 in 2008 and from $.30 to $1.44 in 2009. In addition to those risks described earlier in this section, the market price of our common stock can be expected to fluctuate significantly in response to numerous other factors, many of which are beyond our control, including the following:</w:t>
      </w:r>
    </w:p>
    <w:p>
      <w:pPr>
        <w:spacing w:after="0" w:line="26" w:lineRule="exact"/>
        <w:rPr>
          <w:sz w:val="20"/>
          <w:szCs w:val="20"/>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technical innovations, acquisitions, strategic partnerships, joint ventures or capital commitments;</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96"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experiences difficulties in their implementation, our business and operating results could be harmed, we could fail to meet our reporting obligations, and there could be a material adverse effect on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96"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20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Because we do not expect to pay dividends on our common stock, stockholders will benefit from an investment in our common stock only if it appreciates in value.</w:t>
      </w:r>
    </w:p>
    <w:p>
      <w:pPr>
        <w:spacing w:after="0" w:line="45"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have never paid cash dividends on our common stock and have no present intention to pay any dividends in the future. Any future determination about the payment of dividends will be made at the discretion of our board of directors and will depend upon our earnings, if any, our capital requirements, our operating and financial conditions and on such other factors as our board of directors may deem relevant. As a result, the success of an investment in our common stock will depend upon any future appreciation in its value. There is no guarantee that our common stock will appreciate in value or even maintain the price at which stockholders have purchased their shares.</w:t>
      </w:r>
    </w:p>
    <w:p>
      <w:pPr>
        <w:spacing w:after="0" w:line="218"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b w:val="1"/>
          <w:bCs w:val="1"/>
          <w:color w:val="auto"/>
        </w:rPr>
        <w:t>Future sales of a substantial number of shares of our common stock in the public market, including the shares offered pursuant to this prospectus, could adversely affect the trading price of our common stock and impair our ability to raise funds in future stock offerings.</w:t>
      </w:r>
    </w:p>
    <w:p>
      <w:pPr>
        <w:spacing w:after="0" w:line="1" w:lineRule="exact"/>
        <w:rPr>
          <w:sz w:val="20"/>
          <w:szCs w:val="20"/>
          <w:color w:val="auto"/>
        </w:rPr>
      </w:pPr>
    </w:p>
    <w:p>
      <w:pPr>
        <w:ind w:right="220" w:firstLine="228"/>
        <w:spacing w:after="0" w:line="335" w:lineRule="auto"/>
        <w:rPr>
          <w:sz w:val="20"/>
          <w:szCs w:val="20"/>
          <w:color w:val="auto"/>
        </w:rPr>
      </w:pPr>
      <w:r>
        <w:rPr>
          <w:rFonts w:ascii="Arial" w:cs="Arial" w:eastAsia="Arial" w:hAnsi="Arial"/>
          <w:sz w:val="15"/>
          <w:szCs w:val="15"/>
          <w:color w:val="auto"/>
        </w:rPr>
        <w:t>Future sales of a substantial number of shares of our common stock in the public market, including the shares to be offered pursuant to this prospectus and other resale prospectuses and shares available for resale under Rule 144 under the Securities Act, or the perception that such sales could occur, could adversely affect the prevailing market price of our common stock and could make it more difficult for us to raise additional capital through the sale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maintain the listing of our common stock on The Nasdaq Global Market.</w:t>
      </w:r>
    </w:p>
    <w:p>
      <w:pPr>
        <w:spacing w:after="0" w:line="96"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Our ability to raise additional capital may be dependent upon our stock being quoted on The Nasdaq Global Market. Delisting from The Nasdaq Global Market could have an adverse effect on our business and on the trading of our common stock. If a delisting of our common stock from The Nasdaq Global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1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96"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or otherwise used in a way that does not yield a favorable, or any, return for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experience immediate dilution in the book value per share of the common stock you purchase.</w:t>
      </w:r>
    </w:p>
    <w:p>
      <w:pPr>
        <w:spacing w:after="0" w:line="96"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You will suffer immediate dilution in the net tangible book value of the common stock you purchase in this offering because the price per share of our common stock being offered hereby is substantially higher than the book value per share of our common stock. Based on the public offering price of $0.75 per share in this offering, if you purchase shares of common stock in this offering, you will suffer immediate and substantial dilution of $0.438 per share in the net tangible book value of the common stock. See “Dilution” on page S-15 for a more detailed discussion of the dilution you will incur in this offering.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We estimate that the net proceeds to us from the sale of our common stock in this offering will be approximately $9.0 million, after deducting the estimated underwriting discounts and commissions and estimated offering expenses payable by us.</w:t>
      </w:r>
    </w:p>
    <w:p>
      <w:pPr>
        <w:spacing w:after="0" w:line="132"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We currently intend to use the net proceeds we receive from the sale of our common stock in this offering for working capital requirements and general corporate purposes.</w:t>
      </w:r>
    </w:p>
    <w:p>
      <w:pPr>
        <w:spacing w:after="0" w:line="13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At this time, we have not determined the approximate amount of net proceeds that will be allocated to each of the uses of proceeds stated above. We may also use a portion of the net proceeds to fund possible partnerships, minority investments, products or technologies. Currently, there are no commitments or agreements regarding such acquisitions or investments that are material. Our management will retain broad discretion as to the allocation of the net proceeds from this offering. Pending application of the net proceeds as described above, we intend to invest the proceeds in highly liquid, investment-grade securities and money market funds.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public offering price per share you pay in this offering and the net tangible book value per share of our common stock immediately after this offering. Our unaudited net tangible book value of our common stock as of September 30, 2009 was approximately $15.9 million, or approximately $0.239 per share of common stock based upon 66,478,623 shares outstanding. Net tangible book value per share is equal to our total tangible assets, less our total liabilities, divided by the total number of shares of our common stock outstanding as of September 30, 2009. After giving effect to the sale by us of the shares of our common stock we are offering, our as-adjusted net tangible book value as of September 30, 2009 would have been approximately $24.9 million, or approximately $0.312 per share of common stock based upon 79,708,123 shares outstanding. This represents an immediate increase in net tangible book value of $0.073 per share to our existing stockholders and an immediate dilution in net tangible book value of $0.438 per share to new investors. The following table illustrates this calculation on a per share basis: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$0.750</w:t>
            </w: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Net tangible book value per share as of September 30, 2009</w:t>
            </w:r>
          </w:p>
        </w:tc>
        <w:tc>
          <w:tcPr>
            <w:tcW w:w="2480" w:type="dxa"/>
            <w:vAlign w:val="bottom"/>
          </w:tcPr>
          <w:p>
            <w:pPr>
              <w:jc w:val="right"/>
              <w:ind w:right="772"/>
              <w:spacing w:after="0"/>
              <w:rPr>
                <w:sz w:val="20"/>
                <w:szCs w:val="20"/>
                <w:color w:val="auto"/>
              </w:rPr>
            </w:pPr>
            <w:r>
              <w:rPr>
                <w:rFonts w:ascii="Arial" w:cs="Arial" w:eastAsia="Arial" w:hAnsi="Arial"/>
                <w:sz w:val="18"/>
                <w:szCs w:val="18"/>
                <w:color w:val="auto"/>
              </w:rPr>
              <w:t>$0.239</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24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$0.073</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As-adjusted net tangible book value per share after giving effect to the offering</w:t>
            </w:r>
          </w:p>
        </w:tc>
        <w:tc>
          <w:tcPr>
            <w:tcW w:w="2480" w:type="dxa"/>
            <w:vAlign w:val="bottom"/>
          </w:tcPr>
          <w:p>
            <w:pPr>
              <w:jc w:val="right"/>
              <w:ind w:right="772"/>
              <w:spacing w:after="0"/>
              <w:rPr>
                <w:sz w:val="20"/>
                <w:szCs w:val="20"/>
                <w:color w:val="auto"/>
              </w:rPr>
            </w:pPr>
            <w:r>
              <w:rPr>
                <w:rFonts w:ascii="Arial" w:cs="Arial" w:eastAsia="Arial" w:hAnsi="Arial"/>
                <w:sz w:val="18"/>
                <w:szCs w:val="18"/>
                <w:color w:val="auto"/>
              </w:rPr>
              <w:t>$0.312</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$0.438</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foregoing table excludes the following, each stated as of September 30, 2009:</w:t>
      </w:r>
    </w:p>
    <w:p>
      <w:pPr>
        <w:spacing w:after="0" w:line="90" w:lineRule="exact"/>
        <w:rPr>
          <w:sz w:val="20"/>
          <w:szCs w:val="20"/>
          <w:color w:val="auto"/>
        </w:rPr>
      </w:pPr>
    </w:p>
    <w:p>
      <w:pPr>
        <w:ind w:left="440" w:hanging="216"/>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5,765,637 shares of our common stock issuable upon the exercise of stock options at a weighted average exercise price of $1.96 per share;</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3,935,272 shares of common stock reserved for future issuance under our stock plans;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123,013 shares of restricted stock issuable subject to vesting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Subject to the terms and conditions set forth in an underwriting agreement, the underwriter named below has agreed to purchase from us the aggregate number of shares set forth opposite its name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40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Weisel Partners LLC</w:t>
            </w:r>
          </w:p>
        </w:tc>
        <w:tc>
          <w:tcPr>
            <w:tcW w:w="30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13,229,500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underwriting agreement provides that the obligations of the underwriter are subject to various conditions, including approval of legal matters by counsel.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nature of the underwriter’s obligations commits the underwriter to purchase and pay for all of the shares listed above if any are purchased.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underwriter expects to deliver the shares to purchasers on or about February 24,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underwriter proposes to offer the shares directly to the public at the public offering price set forth on the cover page of this prospectus supplement. After this offering, the offering price and other selling terms may be changed by the underwriter. Our shares are offered subject to receipt and acceptance by the underwriter and to the other conditions, including the right to reject orders in whole or in part.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compensation to be paid to the underwriter by us and the proceeds, before expenses, payable to us: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Per Share</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0.750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9,922,125.00</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0.045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595,327.50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0.705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9,326,797.50</w:t>
            </w:r>
          </w:p>
        </w:tc>
      </w:tr>
    </w:tbl>
    <w:p>
      <w:pPr>
        <w:spacing w:after="0" w:line="154"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addition, we have agreed to reimburse the underwriter for the fees and expenses incurred by it in connection with the offering in an amount not to exceed $125,000.</w:t>
      </w:r>
    </w:p>
    <w:p>
      <w:pPr>
        <w:spacing w:after="0" w:line="132" w:lineRule="exact"/>
        <w:rPr>
          <w:sz w:val="20"/>
          <w:szCs w:val="20"/>
          <w:color w:val="auto"/>
        </w:rPr>
      </w:pPr>
    </w:p>
    <w:p>
      <w:pPr>
        <w:ind w:right="220" w:firstLine="228"/>
        <w:spacing w:after="0" w:line="370" w:lineRule="auto"/>
        <w:rPr>
          <w:sz w:val="20"/>
          <w:szCs w:val="20"/>
          <w:color w:val="auto"/>
        </w:rPr>
      </w:pPr>
      <w:r>
        <w:rPr>
          <w:rFonts w:ascii="Arial" w:cs="Arial" w:eastAsia="Arial" w:hAnsi="Arial"/>
          <w:sz w:val="15"/>
          <w:szCs w:val="15"/>
          <w:color w:val="auto"/>
        </w:rPr>
        <w:t>In compliance with the guidelines of the Financial Industry Regulatory Authority, or FINRA, the maximum consideration or discount to be received by any FINRA member or independent broker dealer may not exceed 8.0% of the aggregate amount of the securities offered pursuant to this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underwriting agreement provides that we will indemnify the underwriter against liabilities specified in the underwriting agreement under the Securities Act, or will contribute to payments that the underwriter may be required to make relating to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The underwriter will require all of our directors and executive officers to agree not to offer, sell, contract to sell, pledge (except a pledge for our benefit pursuant to an agreement entered or to be entered into between us and the applicable director or executive officer), grant any option to purchase, make any short sale or otherwise transfer or dispose of, directly or indirectly, any shares of common stock, any options or warrants to purchase any shares of common stock or any securities convertible into, exchangeable for or that represent the right to receive shares of common stock, subject to certain exceptions, without the prior written consent of the underwriter, for a period of 90 days after the date of this prospectus supplement. Notwithstanding the foregoing, if (a) during the last 17 days of this 90-day period, we release or publish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financial results or results from operations or announce material news or a material event or (b) prior to the expiration of this 90-day period, we announce that we will release or publish financial results or results from operations during the 15-day period following the last day of the 90-day period, then in each case the above restrictions will be automatically extended until the expiration of the 18-day period beginning on the date of release of the earnings results or the announcement of the material news or material event, as applicable, subject to certain exceptions, unless the underwriter waives, in writing, such extension.</w:t>
      </w:r>
    </w:p>
    <w:p>
      <w:pPr>
        <w:spacing w:after="0" w:line="11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have agreed that for a period of 90 days after the date of this prospectus supplement, subject to extension as described above, we will not, without the prior written consent of the underwriter, offer, sell, contract to sell or otherwise dispose of any shares of common stock or any securities that are substantially similar to the common stock, including any securities that are convertible into or exchangeable for, or that represent the right to receive, shares of common stock or any such substantially similar securities, except for:</w:t>
      </w:r>
    </w:p>
    <w:p>
      <w:pPr>
        <w:spacing w:after="0" w:line="62" w:lineRule="exact"/>
        <w:rPr>
          <w:sz w:val="20"/>
          <w:szCs w:val="20"/>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offered in this offering;</w:t>
      </w:r>
    </w:p>
    <w:p>
      <w:pPr>
        <w:spacing w:after="0" w:line="90" w:lineRule="exact"/>
        <w:rPr>
          <w:rFonts w:ascii="Arial" w:cs="Arial" w:eastAsia="Arial" w:hAnsi="Arial"/>
          <w:sz w:val="18"/>
          <w:szCs w:val="18"/>
          <w:color w:val="auto"/>
        </w:rPr>
      </w:pPr>
    </w:p>
    <w:p>
      <w:pPr>
        <w:ind w:left="440" w:right="680" w:hanging="216"/>
        <w:spacing w:after="0" w:line="26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of common stock issuable upon conversion or exercise of convertible or exercisable securities outstanding on the date of this prospectus supplement; and</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of our common stock that are issued under our existing stock option plans.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traded on The Nasdaq Global Market under the symbol “ACPW.”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Accounts</w:t>
      </w:r>
    </w:p>
    <w:p>
      <w:pPr>
        <w:spacing w:after="0" w:line="96"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The underwriter does not expect sales of shares offered by this prospectus supplement to any accounts over which the underwriter exercises discretionary authority to exceed five percent of the shares offered.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underwriter has informed us that it will not engage in over-allotment, stabilizing or syndicate covering transactions in connection with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underwriter has provided, and may in the future provide, various investment banking and other financial services for us for which services it has received, any may receive in the future, customary fees.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228"/>
        <w:spacing w:after="0" w:line="370" w:lineRule="auto"/>
        <w:rPr>
          <w:sz w:val="20"/>
          <w:szCs w:val="20"/>
          <w:color w:val="auto"/>
        </w:rPr>
      </w:pPr>
      <w:r>
        <w:rPr>
          <w:rFonts w:ascii="Arial" w:cs="Arial" w:eastAsia="Arial" w:hAnsi="Arial"/>
          <w:sz w:val="15"/>
          <w:szCs w:val="15"/>
          <w:color w:val="auto"/>
        </w:rPr>
        <w:t>Wilson Sonsini Goodrich &amp; Rosati, Professional Corporation, Austin, Texas, has passed upon the validity of the issuance of the securities offered by this prospectus. Goodwin Procter LLP, Boston, Massachusetts, is acting as counsel for the underwriter in connection with certain legal matters relating to this offering.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supplement, the accompanying prospectus and elsewhere in the registration statement.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$25,000,000</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ACTIVE POWER, INC.</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By this prospectus, we may offer, from time to time —</w:t>
      </w:r>
    </w:p>
    <w:p>
      <w:pPr>
        <w:spacing w:after="0" w:line="193" w:lineRule="exact"/>
        <w:rPr>
          <w:sz w:val="20"/>
          <w:szCs w:val="20"/>
          <w:color w:val="auto"/>
        </w:rPr>
      </w:pPr>
    </w:p>
    <w:p>
      <w:pPr>
        <w:ind w:left="4440" w:hanging="326"/>
        <w:spacing w:after="0"/>
        <w:tabs>
          <w:tab w:leader="none" w:pos="44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71" w:lineRule="exact"/>
        <w:rPr>
          <w:rFonts w:ascii="Arial" w:cs="Arial" w:eastAsia="Arial" w:hAnsi="Arial"/>
          <w:sz w:val="22"/>
          <w:szCs w:val="22"/>
          <w:color w:val="auto"/>
        </w:rPr>
      </w:pPr>
    </w:p>
    <w:p>
      <w:pPr>
        <w:ind w:left="4440" w:hanging="326"/>
        <w:spacing w:after="0"/>
        <w:tabs>
          <w:tab w:leader="none" w:pos="44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5 for information you should consider before buying our securities.</w:t>
      </w:r>
    </w:p>
    <w:p>
      <w:pPr>
        <w:spacing w:after="0" w:line="18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From time to time, we may offer and sell, in one or more offerings, in amounts, at prices and on terms determined at the time of any such offering, common stock, warrants, and any combination thereof, with a total value of up to $25,000,000.</w:t>
      </w:r>
    </w:p>
    <w:p>
      <w:pPr>
        <w:spacing w:after="0" w:line="155"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As of December 15, 2009, the aggregate market value of our outstanding common stock held by non-affiliates was $65,709,295, based on 66,478,623 shares of outstanding common stock, of which 65,709,295 are held by non-affiliates, and a price of $1.00 per share, based on the closing sale price of our common stock on December 15, 2009 as reported by The Nasdaq Global Market. We have not offered any securities pursuant to General Instruction 1.B.6 of Form S-3 during the prior 12-month period that ends on and includes the date of this prospectus.</w:t>
      </w:r>
    </w:p>
    <w:p>
      <w:pPr>
        <w:spacing w:after="0" w:line="12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common stock is listed on The Nasdaq Global Market under the symbol “ACPW.” On December 15, 2009, the closing price of our common stock was $1.00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173355</wp:posOffset>
            </wp:positionV>
            <wp:extent cx="28213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will provide specific terms of these securities in supplements to this prospectus. You should read this prospectus and any supplement carefully before you purchase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may not be used to offer and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is dated December 21, 2009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4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00" w:type="dxa"/>
            <w:vAlign w:val="bottom"/>
            <w:gridSpan w:val="12"/>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71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000" w:type="dxa"/>
            <w:vAlign w:val="bottom"/>
            <w:gridSpan w:val="12"/>
            <w:vMerge w:val="continue"/>
          </w:tcPr>
          <w:p>
            <w:pPr>
              <w:spacing w:after="0"/>
              <w:rPr>
                <w:sz w:val="14"/>
                <w:szCs w:val="14"/>
                <w:color w:val="auto"/>
              </w:rPr>
            </w:pPr>
          </w:p>
        </w:tc>
        <w:tc>
          <w:tcPr>
            <w:tcW w:w="714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1200" w:type="dxa"/>
            <w:vAlign w:val="bottom"/>
            <w:gridSpan w:val="2"/>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Note Regarding Forward-Looking Statements</w:t>
              </w:r>
            </w:hyperlink>
          </w:p>
        </w:tc>
        <w:tc>
          <w:tcPr>
            <w:tcW w:w="760" w:type="dxa"/>
            <w:vAlign w:val="bottom"/>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3100" w:type="dxa"/>
            <w:vAlign w:val="bottom"/>
            <w:gridSpan w:val="10"/>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 We May Offer</w:t>
              </w:r>
            </w:hyperlink>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240" w:type="dxa"/>
            <w:vAlign w:val="bottom"/>
            <w:gridSpan w:val="5"/>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Description of Common Stock</w:t>
              </w:r>
            </w:hyperlink>
          </w:p>
        </w:tc>
        <w:tc>
          <w:tcPr>
            <w:tcW w:w="1840" w:type="dxa"/>
            <w:vAlign w:val="bottom"/>
            <w:gridSpan w:val="3"/>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Warrants</w:t>
              </w:r>
            </w:hyperlink>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2060" w:type="dxa"/>
            <w:vAlign w:val="bottom"/>
            <w:gridSpan w:val="4"/>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600" w:type="dxa"/>
            <w:vAlign w:val="bottom"/>
            <w:gridSpan w:val="7"/>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3020" w:type="dxa"/>
            <w:vAlign w:val="bottom"/>
            <w:gridSpan w:val="9"/>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accompanying prospectus supplement shall constitute an offer to sell or a solicitation of an offer to buy offered securities in any jurisdiction in which it is unlawful for such person to make such an offering or solicitation. Neither the delivery of this prospectus or any accompanying prospectus supplement nor any sale made hereunder shall under any circumstances imply that the information contained or incorporated by reference in this prospectus or in any accompanying prospectus supplement is correct as of any date subsequent to the date of this prospectus or any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157480</wp:posOffset>
            </wp:positionV>
            <wp:extent cx="1878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9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849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left="200" w:right="60" w:firstLine="221"/>
        <w:spacing w:after="0" w:line="294" w:lineRule="auto"/>
        <w:rPr>
          <w:sz w:val="20"/>
          <w:szCs w:val="20"/>
          <w:color w:val="auto"/>
        </w:rPr>
      </w:pPr>
      <w:r>
        <w:rPr>
          <w:rFonts w:ascii="Arial" w:cs="Arial" w:eastAsia="Arial" w:hAnsi="Arial"/>
          <w:sz w:val="16"/>
          <w:szCs w:val="16"/>
          <w:color w:val="auto"/>
        </w:rPr>
        <w:t>We file reports, proxy statements and other information with the Securities and Exchange Commission, or the Commission, in accordance with the Securities Exchange Act of 1934, or the Exchange Act. You may read and copy our reports, proxy statements and other information filed by us at the Public Reference Room of the Commission at 100 F Street, N.E., Washington, D.C. 20549. Please call the Commission at 1-800-SEC-0330 for further information about the Public Reference Room. Our reports, proxy statements and other information filed with the Commission are available to the public over the Internet at the Commission’s website at www.sec.gov and on our Internet website at http://www.activepower.com.</w:t>
      </w:r>
    </w:p>
    <w:p>
      <w:pPr>
        <w:spacing w:after="0" w:line="116" w:lineRule="exact"/>
        <w:rPr>
          <w:sz w:val="20"/>
          <w:szCs w:val="20"/>
          <w:color w:val="auto"/>
        </w:rPr>
      </w:pPr>
    </w:p>
    <w:p>
      <w:pPr>
        <w:ind w:left="200" w:firstLine="221"/>
        <w:spacing w:after="0" w:line="291" w:lineRule="auto"/>
        <w:rPr>
          <w:sz w:val="20"/>
          <w:szCs w:val="20"/>
          <w:color w:val="auto"/>
        </w:rPr>
      </w:pPr>
      <w:r>
        <w:rPr>
          <w:rFonts w:ascii="Arial" w:cs="Arial" w:eastAsia="Arial" w:hAnsi="Arial"/>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but before the end of any offering made under this prospectus and accompanying prospectus supplement (other than current reports or portions thereof furnished under Item 2.02, 7.01 or 8.01 of Form 8-K, unless such current reports or portions thereof specifically reference their contents as being filed):</w:t>
      </w:r>
    </w:p>
    <w:p>
      <w:pPr>
        <w:spacing w:after="0" w:line="39" w:lineRule="exact"/>
        <w:rPr>
          <w:sz w:val="20"/>
          <w:szCs w:val="20"/>
          <w:color w:val="auto"/>
        </w:rPr>
      </w:pPr>
    </w:p>
    <w:p>
      <w:pPr>
        <w:ind w:left="620" w:right="340" w:hanging="207"/>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620" w:right="460" w:hanging="207"/>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3, 2009, as amended by that certain Amendment No. 1 to Form 10-K filed with the SEC on October 28, 2009;</w:t>
      </w:r>
    </w:p>
    <w:p>
      <w:pPr>
        <w:spacing w:after="0" w:line="50" w:lineRule="exact"/>
        <w:rPr>
          <w:rFonts w:ascii="Arial" w:cs="Arial" w:eastAsia="Arial" w:hAnsi="Arial"/>
          <w:sz w:val="18"/>
          <w:szCs w:val="18"/>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March 17, 2009, May 14, 2009, June 1, 2009, July 6, 2009 and October 29, 2009.</w:t>
      </w:r>
    </w:p>
    <w:p>
      <w:pPr>
        <w:spacing w:after="0" w:line="194" w:lineRule="exact"/>
        <w:rPr>
          <w:sz w:val="20"/>
          <w:szCs w:val="20"/>
          <w:color w:val="auto"/>
        </w:rPr>
      </w:pPr>
    </w:p>
    <w:p>
      <w:pPr>
        <w:ind w:left="200" w:right="460" w:firstLine="221"/>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600" w:hanging="417"/>
        <w:spacing w:after="0"/>
        <w:tabs>
          <w:tab w:leader="none" w:pos="5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836-6464</w:t>
      </w:r>
    </w:p>
    <w:p>
      <w:pPr>
        <w:spacing w:after="0" w:line="349"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221"/>
        <w:spacing w:after="0" w:line="253" w:lineRule="auto"/>
        <w:rPr>
          <w:sz w:val="20"/>
          <w:szCs w:val="20"/>
          <w:color w:val="auto"/>
        </w:rPr>
      </w:pPr>
      <w:r>
        <w:rPr>
          <w:rFonts w:ascii="Arial" w:cs="Arial" w:eastAsia="Arial" w:hAnsi="Arial"/>
          <w:sz w:val="18"/>
          <w:szCs w:val="18"/>
          <w:color w:val="auto"/>
        </w:rPr>
        <w:t>This prospectus is part of a registration statement that we filed on Form S-3 with the Commission, using a “shelf” registration process. Under this shelf process, we may, from time to time, sell any combination of the securities described in this prospectus in one or more offerings up to a total dollar amount of $25,000,000. This prospectus provides you with a general description of the securities we may offer. Each time we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including the risk factors, together with the additional information described under the heading “Where You Can Find More Information.”</w:t>
      </w:r>
    </w:p>
    <w:p>
      <w:pPr>
        <w:spacing w:after="0" w:line="145" w:lineRule="exact"/>
        <w:rPr>
          <w:sz w:val="20"/>
          <w:szCs w:val="20"/>
          <w:color w:val="auto"/>
        </w:rPr>
      </w:pPr>
    </w:p>
    <w:p>
      <w:pPr>
        <w:ind w:left="200" w:right="720" w:firstLine="221"/>
        <w:spacing w:after="0" w:line="268"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left="200" w:right="80" w:firstLine="221"/>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w:t>
      </w:r>
      <w:hyperlink w:anchor="page2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5, and the information to which we refer you and the information incorporated into this prospectus by reference, for a complete understanding of our business and this offering.</w:t>
      </w:r>
    </w:p>
    <w:p>
      <w:pPr>
        <w:spacing w:after="0" w:line="143" w:lineRule="exact"/>
        <w:rPr>
          <w:sz w:val="20"/>
          <w:szCs w:val="20"/>
          <w:color w:val="auto"/>
        </w:rPr>
      </w:pPr>
    </w:p>
    <w:p>
      <w:pPr>
        <w:ind w:left="200" w:firstLine="221"/>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left="200" w:firstLine="221"/>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81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0812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00" w:firstLine="221"/>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left="200" w:right="440" w:firstLine="221"/>
        <w:spacing w:after="0" w:line="332"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w:t>
      </w:r>
    </w:p>
    <w:p>
      <w:pPr>
        <w:spacing w:after="0" w:line="382" w:lineRule="exact"/>
        <w:rPr>
          <w:sz w:val="20"/>
          <w:szCs w:val="20"/>
          <w:color w:val="auto"/>
        </w:rPr>
      </w:pPr>
    </w:p>
    <w:p>
      <w:pPr>
        <w:ind w:left="200" w:right="20" w:firstLine="221"/>
        <w:spacing w:after="0" w:line="332" w:lineRule="auto"/>
        <w:rPr>
          <w:sz w:val="20"/>
          <w:szCs w:val="20"/>
          <w:color w:val="auto"/>
        </w:rPr>
      </w:pPr>
      <w:r>
        <w:rPr>
          <w:rFonts w:ascii="Arial" w:cs="Arial" w:eastAsia="Arial" w:hAnsi="Arial"/>
          <w:sz w:val="16"/>
          <w:szCs w:val="16"/>
          <w:color w:val="auto"/>
        </w:rPr>
        <w:t>We own the registered trademarks ACTIVE POWER, CLEANSOURCE and COOLAIR in the United States and abroad. The ACTIVE POWER logo is a trademark of Active Power. All other trademarks, service marks or trade names referred to in this report are the property of their respective owners.</w:t>
      </w: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jc w:val="both"/>
        <w:ind w:left="200" w:firstLine="221"/>
        <w:spacing w:after="0" w:line="303" w:lineRule="auto"/>
        <w:rPr>
          <w:sz w:val="20"/>
          <w:szCs w:val="20"/>
          <w:color w:val="auto"/>
        </w:rPr>
      </w:pPr>
      <w:r>
        <w:rPr>
          <w:rFonts w:ascii="Arial" w:cs="Arial" w:eastAsia="Arial" w:hAnsi="Arial"/>
          <w:sz w:val="15"/>
          <w:szCs w:val="15"/>
          <w:color w:val="auto"/>
        </w:rPr>
        <w:t>This prospectus and the registration statement of which it forms a part, any prospectus supplement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w:t>
      </w:r>
    </w:p>
    <w:p>
      <w:pPr>
        <w:spacing w:after="0" w:line="1"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Commission,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in our most recent Annual Report on Form 10-K and Quarterly Report on Form 10-Q and in our future filings made with the Commission. Readers are cautioned not to place undue reliance on any forward-looking statements contained herein, which reflect management’s opinions only as of the date hereof. Except as required by law, Active Power undertakes no obligation to revise or publicly release the results of any revisions to any forward-looking statements. You are advised, however, to consult any additional disclosures we have made or will make in our reports to the Commission on Forms 10-K, 10-Q and 8-K. All subsequent written and oral forward-looking statements attributable to us or persons acting on our behalf are expressly qualified in their entirety by the cautionary statements contained in this prospectus.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2008, and our Quarterly Reports for the quarterly periods ended March 31, 2009, June 30, 2009 and September 30, 2009, all of which are incorporated herein by reference, and may be amended, supplemented or superseded from time to time by other reports we file with the Commission in the future. The risks and uncertainties we have described are not the only ones we face. Additional risks and uncertainties not presently known to us or that we currently deem immaterial may also affect our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WE MAY OFFER</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We may offer up to $25,000,000 of common stock and warrants in one or more offerings and in any combination thereof. A prospectus supplement, which we will provide each time we offer securities, will describe the specific amounts, prices and terms of these securities.</w:t>
      </w:r>
    </w:p>
    <w:p>
      <w:pPr>
        <w:spacing w:after="0" w:line="13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working capital requirements, general corporate purposes and investments in and acquisitions of complementary businesses. We may also use a portion of the net proceeds to fund possible partnerships, minority investments, products or technologies. Currently, there are no commitments or agreements regarding such acquisitions or investments that are material. Pending their ultimate use, we intend to invest the net proceeds in bank demand deposits, certificates of deposit, investments in debt securities with maturities of three months or less when purchased, and money market funds which invest primarily in U.S. government obligations and commercial paper.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As of the date of this prospectus, our authorized capital stock consists of 160,000,000 shares. Those shares consist of 150,000,000 shares designated as common stock, $0.001 par value per share, and 10,000,000 shares designated as preferred stock, $0.001 par value per share. The only equity securities currently outstanding are shares of common stock. As of December 15, 2009, there were 66,478,623 shares of common stock issued and outstanding.</w:t>
      </w:r>
    </w:p>
    <w:p>
      <w:pPr>
        <w:spacing w:after="0" w:line="10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following description summarizes the material terms of our common stock. This summary is, however, subject to the provisions of our restated certificate of incorporation and any applicable certificate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designation for a series of preferred stock, our amended bylaws, a rights agreement between us and EquiServe Trust N.A., and applicable law.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40" w:firstLine="22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any dividends or other distributions that may be declared from time to time by the board of directors out of funds legally available for that purpose. However, we are not currently paying any dividends. 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spacing w:after="0" w:line="120"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All outstanding shares of common stock are fully paid and nonassessable, and any shares of common stock to be issued upon an offering pursuant to this prospectus and the related prospectus supplement will be fully paid and nonassessable upon issuance.</w:t>
      </w:r>
    </w:p>
    <w:p>
      <w:pPr>
        <w:spacing w:after="0" w:line="132"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The transfer agent and registrar for the common stock is American Stock Transfer &amp; Trust Company,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96"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Provisions of Delaware law and our currently in effect restated certificate of incorporation and amended bylaws could make the acquisition of our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our company to first negotiate with our board of directors.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44" w:lineRule="exact"/>
        <w:rPr>
          <w:sz w:val="20"/>
          <w:szCs w:val="20"/>
          <w:color w:val="auto"/>
        </w:rPr>
      </w:pPr>
    </w:p>
    <w:p>
      <w:pPr>
        <w:jc w:val="both"/>
        <w:ind w:right="400" w:firstLine="228"/>
        <w:spacing w:after="0" w:line="259"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440" w:right="220" w:hanging="216"/>
        <w:spacing w:after="0" w:line="26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440" w:hanging="216"/>
        <w:spacing w:after="0" w:line="256"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8"/>
          <w:szCs w:val="18"/>
          <w:color w:val="auto"/>
        </w:rPr>
      </w:pPr>
    </w:p>
    <w:p>
      <w:pPr>
        <w:ind w:left="440" w:right="280" w:hanging="216"/>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securities. We expect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Documents</w:t>
      </w:r>
    </w:p>
    <w:p>
      <w:pPr>
        <w:spacing w:after="0" w:line="96"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Our currently in effect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In accordance with our currently in effect restated certificate of incorporation, directors may be removed by the affirmative vote of the holders of the outstanding shares of common stock only with cause.</w:t>
      </w:r>
    </w:p>
    <w:p>
      <w:pPr>
        <w:spacing w:after="0" w:line="14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currently in effect amended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amended bylaws do not give the board of directors the power to approve or disapprove stockholder nominations of candidates or proposals regarding other business to be conducted at a special or annual meeting of the stockholders. However, our amended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Our amended bylaws provide that only our board of directors may call a special meeting of stockholders. Because our stockholders do not have the right to call a special meeting, a stockholder could not force stockholder consideration of a proposal over the opposition of the board of directors by calling a special meeting of stockholders prior to such time as a majority of the board of directors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spacing w:after="0" w:line="14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Our currently in effect restated certificate of incorporation does not allow stockholders to act by written consent without a meeting. Without the availability of stockholder’s actions by written consent, a holder controlling a majority of our capital stock would not be able to amend our amended bylaws or remove directors without holding a stockholders’ meeting. The holder would have to obtain the consent of a majority of the board of directors to call a stockholders’ meeting and satisfy the notice periods determined by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Its address is 59 Maiden Lane, Plaza Level, New York, New York 10038.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has been approved for listing on The Nasdaq Global Market under the trading symbol ACPW.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4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will describe the terms of the warrants, including the following:</w:t>
      </w:r>
    </w:p>
    <w:p>
      <w:pPr>
        <w:spacing w:after="0" w:line="51" w:lineRule="exact"/>
        <w:rPr>
          <w:sz w:val="20"/>
          <w:szCs w:val="20"/>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common stock that may be purchased upon exercise of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security;</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that may be purchased upon exercise of a warrant and the exercise price for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with respect to the holder’s right to require us to repurchase the warrants upon a change in control or similar event;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additional terms of the warrants, including procedures and limitations relating to the exchange, exercise and settlement of the warrants.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Holders of equity warrants will not be entitled to:</w:t>
      </w:r>
    </w:p>
    <w:p>
      <w:pPr>
        <w:spacing w:after="0" w:line="90" w:lineRule="exact"/>
        <w:rPr>
          <w:sz w:val="20"/>
          <w:szCs w:val="20"/>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any rights as stockholders of Active Power.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securities:</w:t>
      </w:r>
    </w:p>
    <w:p>
      <w:pPr>
        <w:spacing w:after="0" w:line="51" w:lineRule="exact"/>
        <w:rPr>
          <w:sz w:val="20"/>
          <w:szCs w:val="20"/>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or through one or more underwriters or dealers;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agents;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distribute the securities from time to time in one or more transactions:</w:t>
      </w:r>
    </w:p>
    <w:p>
      <w:pPr>
        <w:spacing w:after="0" w:line="90"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prices related to prevailing market prices;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will describe the method of distribution of each series of securities in the applicable prospectus supplement.</w:t>
      </w:r>
    </w:p>
    <w:p>
      <w:pPr>
        <w:spacing w:after="0" w:line="17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our without the involvement of agents, underwriters or dealers, utilizing the Internet (sometimes referred to as the “world wide web”) or other forms of electronic bidding or ordering systems for the pricing and allocation of such securities, you will want to pay particular attention to the description of that system we will provide in a prospectus supplement.</w:t>
      </w:r>
    </w:p>
    <w:p>
      <w:pPr>
        <w:spacing w:after="0" w:line="143"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13"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40"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Many variations of Internet or other electronic auction or pricing and allocation systems are likely to be developed in the future as new technology evolves, and we may utilize such systems in connection with the sale of securities. The specific rules of such an auction would be described to potential bidders in a prospectus supplement. You should review carefully the auction and other rules we will describe in a prospectus supplement in order to understand and participate intelligently in the applicable offering.</w:t>
      </w:r>
    </w:p>
    <w:p>
      <w:pPr>
        <w:spacing w:after="0" w:line="143"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8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connection with underwritten offerings of securities,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59"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stabilizing bid means the placing of any bid, or the effecting of any purchase, for the purpose of pegging, fixing or maintaining the price of a security.</w:t>
      </w:r>
    </w:p>
    <w:p>
      <w:pPr>
        <w:spacing w:after="0" w:line="113" w:lineRule="exact"/>
        <w:rPr>
          <w:rFonts w:ascii="Arial" w:cs="Arial" w:eastAsia="Arial" w:hAnsi="Arial"/>
          <w:sz w:val="16"/>
          <w:szCs w:val="16"/>
          <w:color w:val="auto"/>
        </w:rPr>
      </w:pPr>
    </w:p>
    <w:p>
      <w:pPr>
        <w:ind w:left="440" w:right="300" w:hanging="216"/>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50" w:lineRule="exact"/>
        <w:rPr>
          <w:rFonts w:ascii="Arial" w:cs="Arial" w:eastAsia="Arial" w:hAnsi="Arial"/>
          <w:sz w:val="18"/>
          <w:szCs w:val="18"/>
          <w:color w:val="auto"/>
        </w:rPr>
      </w:pPr>
    </w:p>
    <w:p>
      <w:pPr>
        <w:ind w:left="440" w:hanging="216"/>
        <w:spacing w:after="0" w:line="332"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85"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These transactions may be effected on The Nasdaq Global Market, in the over-the-counter markets or otherwise. Underwriters are not required to engage in any of these activities, or to continue the activities if commenced.</w:t>
      </w:r>
    </w:p>
    <w:p>
      <w:pPr>
        <w:spacing w:after="0" w:line="132"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20"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We may grant underwriters who participate in the distribution of securities an option to purchase additional securities to cover over-allotments, if any, in connection with the distribution.</w:t>
      </w:r>
    </w:p>
    <w:p>
      <w:pPr>
        <w:spacing w:after="0" w:line="132"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Some securities which we may issue under this prospectus may be new issues of securities with no established trading market. Underwriters involved in the public offering and sale of these series of securities may make a market in the securities. However, they are not obligated to make a market and may discontinue market making activity at any time. No assurance can be given as to the liquidity of the trading market for any securities.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Underwriters or agents and their associates may be customers of, engage in transactions with or perform services for us in the ordinary course of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the extent required, this prospectus may be amended and supplemented from time to time to describe a specific plan of distribution.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validity of the securities offered by this prospectus will be passed upon by Wilson Sonsini Goodrich &amp; Rosati, Professional Corporation, Austin, Texas.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1260475</wp:posOffset>
            </wp:positionV>
            <wp:extent cx="1852295" cy="368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22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Active Power, Inc.</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13,229,500 Shares</w:t>
      </w:r>
    </w:p>
    <w:p>
      <w:pPr>
        <w:jc w:val="center"/>
        <w:ind w:right="-159"/>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512445</wp:posOffset>
            </wp:positionV>
            <wp:extent cx="2821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PROSPECTUS SUPPLEMENT</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February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177800</wp:posOffset>
            </wp:positionV>
            <wp:extent cx="2821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Neither we nor the underwriter have authorized anyone to provide information different from that contained in this prospectus supplement and the accompanying prospectus. When you make a decision about whether to invest in our common stock, you should not rely upon any information other than the information in this prospectus supplement or the accompanying prospectus. Neither the delivery of this prospectus supplement or the accompanying prospectus nor the sale of our common stock means that information contained in this prospectus supplement and the accompanying prospectus is correct after their respective dates. This prospectus supplement and the accompanying prospectus is not an offer to sell or a solicitation of an offer to buy these shares of common stock in any circumstance under which the offer or solicitation is unlawful.</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512"/>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51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2019-12-10T15:22:17Z</dcterms:created>
  <dcterms:modified xsi:type="dcterms:W3CDTF">2019-12-10T15:22:17Z</dcterms:modified>
</cp:coreProperties>
</file>